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5794" w14:textId="121C6D7F" w:rsidR="00DF7201" w:rsidRPr="00DF7201" w:rsidRDefault="00510677" w:rsidP="00DF7201">
      <w:pPr>
        <w:pStyle w:val="NoSpacing"/>
        <w:ind w:left="630"/>
        <w:rPr>
          <w:b/>
        </w:rPr>
      </w:pPr>
      <w:r>
        <w:rPr>
          <w:b/>
        </w:rPr>
        <w:t>ACH Department</w:t>
      </w:r>
    </w:p>
    <w:p w14:paraId="04AEAC93" w14:textId="77777777" w:rsidR="00DF7201" w:rsidRPr="00DF7201" w:rsidRDefault="00DF7201" w:rsidP="00DF7201">
      <w:pPr>
        <w:pStyle w:val="NoSpacing"/>
        <w:ind w:left="630"/>
      </w:pPr>
      <w:r w:rsidRPr="00DF7201">
        <w:t>113 E Market St</w:t>
      </w:r>
    </w:p>
    <w:p w14:paraId="3C1F34C8" w14:textId="068F049C" w:rsidR="00DF7201" w:rsidRPr="00DF7201" w:rsidRDefault="00DF7201" w:rsidP="00A04BE2">
      <w:pPr>
        <w:pStyle w:val="NoSpacing"/>
        <w:tabs>
          <w:tab w:val="left" w:pos="3322"/>
        </w:tabs>
        <w:ind w:left="630"/>
      </w:pPr>
      <w:r w:rsidRPr="00DF7201">
        <w:t>PO Box 1387</w:t>
      </w:r>
      <w:r w:rsidR="00A04BE2">
        <w:tab/>
      </w:r>
    </w:p>
    <w:p w14:paraId="1438AB09" w14:textId="77777777" w:rsidR="00DF7201" w:rsidRPr="00DF7201" w:rsidRDefault="00DF7201" w:rsidP="00DF7201">
      <w:pPr>
        <w:pStyle w:val="NoSpacing"/>
        <w:ind w:left="630"/>
      </w:pPr>
      <w:r w:rsidRPr="00DF7201">
        <w:t>Warsaw IN 46581</w:t>
      </w:r>
    </w:p>
    <w:p w14:paraId="5D062B98" w14:textId="77777777" w:rsidR="00F05F83" w:rsidRDefault="00F05F83" w:rsidP="00F05F83">
      <w:pPr>
        <w:pStyle w:val="NoSpacing"/>
        <w:ind w:left="630"/>
      </w:pPr>
    </w:p>
    <w:p w14:paraId="09504429" w14:textId="54A2894C" w:rsidR="00510677" w:rsidRPr="00510677" w:rsidRDefault="00510677" w:rsidP="002C6497">
      <w:pPr>
        <w:pStyle w:val="NoSpacing"/>
        <w:ind w:left="634"/>
      </w:pPr>
    </w:p>
    <w:p w14:paraId="675398F5" w14:textId="77777777" w:rsidR="00510677" w:rsidRPr="00510677" w:rsidRDefault="00510677" w:rsidP="002C6497">
      <w:pPr>
        <w:pStyle w:val="NoSpacing"/>
        <w:ind w:left="634"/>
      </w:pPr>
    </w:p>
    <w:p w14:paraId="0D1FD476" w14:textId="76B6F38A" w:rsidR="00510677" w:rsidRPr="00265CC4" w:rsidRDefault="0033103D" w:rsidP="002C6497">
      <w:pPr>
        <w:pStyle w:val="NoSpacing"/>
        <w:ind w:left="634"/>
        <w:jc w:val="center"/>
        <w:rPr>
          <w:b/>
          <w:bCs/>
        </w:rPr>
      </w:pPr>
      <w:r>
        <w:rPr>
          <w:b/>
          <w:bCs/>
        </w:rPr>
        <w:t>Bradley Company</w:t>
      </w:r>
      <w:r w:rsidR="007B7567">
        <w:rPr>
          <w:b/>
          <w:bCs/>
        </w:rPr>
        <w:t xml:space="preserve"> LLC</w:t>
      </w:r>
    </w:p>
    <w:p w14:paraId="19266419" w14:textId="77777777" w:rsidR="00510677" w:rsidRPr="00265CC4" w:rsidRDefault="00510677" w:rsidP="002C6497">
      <w:pPr>
        <w:pStyle w:val="NoSpacing"/>
        <w:ind w:left="634"/>
        <w:rPr>
          <w:b/>
          <w:bCs/>
        </w:rPr>
      </w:pPr>
    </w:p>
    <w:p w14:paraId="70DAD385" w14:textId="62DC34C6" w:rsidR="00510677" w:rsidRPr="00265CC4" w:rsidRDefault="00265CC4" w:rsidP="002C6497">
      <w:pPr>
        <w:pStyle w:val="NoSpacing"/>
        <w:ind w:left="634"/>
        <w:jc w:val="center"/>
        <w:rPr>
          <w:b/>
          <w:bCs/>
        </w:rPr>
      </w:pPr>
      <w:r w:rsidRPr="00265CC4">
        <w:rPr>
          <w:b/>
          <w:bCs/>
        </w:rPr>
        <w:t xml:space="preserve">2025 </w:t>
      </w:r>
      <w:r w:rsidR="00510677" w:rsidRPr="00265CC4">
        <w:rPr>
          <w:b/>
          <w:bCs/>
        </w:rPr>
        <w:t>ACH Audit Review</w:t>
      </w:r>
    </w:p>
    <w:p w14:paraId="4ABCAD09" w14:textId="16638E76" w:rsidR="00265CC4" w:rsidRPr="00265CC4" w:rsidRDefault="00265CC4" w:rsidP="002C6497">
      <w:pPr>
        <w:pStyle w:val="NoSpacing"/>
        <w:ind w:left="634"/>
        <w:jc w:val="center"/>
        <w:rPr>
          <w:b/>
          <w:bCs/>
        </w:rPr>
      </w:pPr>
    </w:p>
    <w:p w14:paraId="7E6AF13B" w14:textId="69B3B10D" w:rsidR="00265CC4" w:rsidRPr="00265CC4" w:rsidRDefault="00265CC4" w:rsidP="002C6497">
      <w:pPr>
        <w:pStyle w:val="NoSpacing"/>
        <w:ind w:left="634"/>
        <w:jc w:val="center"/>
        <w:rPr>
          <w:b/>
          <w:bCs/>
        </w:rPr>
      </w:pPr>
      <w:r w:rsidRPr="00265CC4">
        <w:rPr>
          <w:b/>
          <w:bCs/>
        </w:rPr>
        <w:t>Tosha Dickeson, AVP Ebanking Risk &amp; Compliance Officer</w:t>
      </w:r>
    </w:p>
    <w:p w14:paraId="5A2E483B" w14:textId="77777777" w:rsidR="00265CC4" w:rsidRPr="00265CC4" w:rsidRDefault="00265CC4" w:rsidP="002C6497">
      <w:pPr>
        <w:pStyle w:val="NoSpacing"/>
        <w:ind w:left="634"/>
        <w:jc w:val="center"/>
        <w:rPr>
          <w:b/>
          <w:bCs/>
        </w:rPr>
      </w:pPr>
    </w:p>
    <w:p w14:paraId="5E1BA8D0" w14:textId="0BC425B4" w:rsidR="00265CC4" w:rsidRPr="00265CC4" w:rsidRDefault="00265CC4" w:rsidP="002C6497">
      <w:pPr>
        <w:pStyle w:val="NoSpacing"/>
        <w:ind w:left="634"/>
        <w:jc w:val="center"/>
        <w:rPr>
          <w:b/>
          <w:bCs/>
        </w:rPr>
      </w:pPr>
      <w:r w:rsidRPr="00265CC4">
        <w:rPr>
          <w:b/>
          <w:bCs/>
        </w:rPr>
        <w:t>Jill Garber, AVP Digital Solutions Product Manager, AAP</w:t>
      </w:r>
    </w:p>
    <w:p w14:paraId="6B78954F" w14:textId="77777777" w:rsidR="00510677" w:rsidRPr="00510677" w:rsidRDefault="00510677" w:rsidP="002C6497">
      <w:pPr>
        <w:pStyle w:val="NoSpacing"/>
        <w:ind w:left="634"/>
      </w:pPr>
    </w:p>
    <w:p w14:paraId="0C04E759" w14:textId="7064CA8E" w:rsidR="00510677" w:rsidRPr="00510677" w:rsidRDefault="00510677" w:rsidP="002C6497">
      <w:pPr>
        <w:pStyle w:val="NoSpacing"/>
        <w:ind w:left="634"/>
      </w:pPr>
      <w:r w:rsidRPr="00510677">
        <w:t>This letter serves to summarize the results of the ACH audit review conducted by Lake City Bank covering the period from January 2024 to May 2025. The purpose of this audit review was to assess compliance with the</w:t>
      </w:r>
      <w:r w:rsidR="002E3D7E">
        <w:t xml:space="preserve"> Nacha</w:t>
      </w:r>
      <w:r w:rsidRPr="00510677">
        <w:t xml:space="preserve"> Operating Rules and Guidelines; relevant regulatory requirements and your organization’s internal controls related to ACH processing. </w:t>
      </w:r>
    </w:p>
    <w:p w14:paraId="332BE752" w14:textId="77777777" w:rsidR="00510677" w:rsidRPr="00510677" w:rsidRDefault="00510677" w:rsidP="002C6497">
      <w:pPr>
        <w:pStyle w:val="NoSpacing"/>
        <w:ind w:left="634"/>
      </w:pPr>
    </w:p>
    <w:p w14:paraId="36561227" w14:textId="77777777" w:rsidR="00510677" w:rsidRPr="00510677" w:rsidRDefault="00510677" w:rsidP="002C6497">
      <w:pPr>
        <w:pStyle w:val="NoSpacing"/>
        <w:ind w:left="634"/>
      </w:pPr>
      <w:r w:rsidRPr="00510677">
        <w:t xml:space="preserve">Methodology of the review: </w:t>
      </w:r>
    </w:p>
    <w:p w14:paraId="1F032216" w14:textId="77777777" w:rsidR="00510677" w:rsidRPr="00510677" w:rsidRDefault="00510677" w:rsidP="002C6497">
      <w:pPr>
        <w:pStyle w:val="NoSpacing"/>
        <w:ind w:left="634"/>
      </w:pPr>
    </w:p>
    <w:p w14:paraId="563F5725" w14:textId="6A9ADB98" w:rsidR="00510677" w:rsidRPr="00510677" w:rsidRDefault="00510677" w:rsidP="002C6497">
      <w:pPr>
        <w:pStyle w:val="NoSpacing"/>
        <w:ind w:left="634"/>
      </w:pPr>
      <w:r w:rsidRPr="00510677">
        <w:t>The audit review used a combination of inquiry and data analysis according to</w:t>
      </w:r>
      <w:r w:rsidR="002E3D7E">
        <w:t xml:space="preserve"> Nacha</w:t>
      </w:r>
      <w:r w:rsidRPr="00510677">
        <w:t xml:space="preserve"> Operating Rules and Guidelines. The review included ACH policies and procedures, authorization processes, transaction processing and settlement verification, and internal controls to mitigate risk associated with ACH operations. </w:t>
      </w:r>
    </w:p>
    <w:p w14:paraId="56FF0646" w14:textId="77777777" w:rsidR="00510677" w:rsidRPr="00510677" w:rsidRDefault="00510677" w:rsidP="002C6497">
      <w:pPr>
        <w:pStyle w:val="NoSpacing"/>
        <w:ind w:left="634"/>
      </w:pPr>
    </w:p>
    <w:p w14:paraId="10A0917C" w14:textId="77777777" w:rsidR="00510677" w:rsidRPr="00510677" w:rsidRDefault="00510677" w:rsidP="002C6497">
      <w:pPr>
        <w:pStyle w:val="NoSpacing"/>
        <w:ind w:left="634"/>
      </w:pPr>
      <w:r w:rsidRPr="00510677">
        <w:t>Summary of Recommendation:</w:t>
      </w:r>
    </w:p>
    <w:p w14:paraId="3EE3CF00" w14:textId="77777777" w:rsidR="00510677" w:rsidRPr="00510677" w:rsidRDefault="00510677" w:rsidP="002C6497">
      <w:pPr>
        <w:pStyle w:val="NoSpacing"/>
        <w:ind w:left="634"/>
      </w:pPr>
    </w:p>
    <w:p w14:paraId="6EBF5CFE" w14:textId="1CC326A0" w:rsidR="00510677" w:rsidRDefault="00510677" w:rsidP="002C6497">
      <w:pPr>
        <w:pStyle w:val="NoSpacing"/>
        <w:ind w:left="634"/>
      </w:pPr>
      <w:r w:rsidRPr="00510677">
        <w:t xml:space="preserve">The following observations were noted during the audit review. Required Updates keep </w:t>
      </w:r>
      <w:r w:rsidR="007D3468">
        <w:t>Bradley Company</w:t>
      </w:r>
      <w:r w:rsidRPr="00510677">
        <w:t xml:space="preserve"> </w:t>
      </w:r>
      <w:r w:rsidR="007B7567">
        <w:t xml:space="preserve">LLC </w:t>
      </w:r>
      <w:r w:rsidRPr="00510677">
        <w:t xml:space="preserve">compliant and will need to be updated before the 2025 audit review. Recommended Practices, improve quality and reduce risk. </w:t>
      </w:r>
    </w:p>
    <w:p w14:paraId="2F81C25D" w14:textId="77777777" w:rsidR="007B7567" w:rsidRDefault="007B7567" w:rsidP="002C6497">
      <w:pPr>
        <w:pStyle w:val="NoSpacing"/>
        <w:ind w:left="634"/>
      </w:pPr>
    </w:p>
    <w:p w14:paraId="40CEF0F7" w14:textId="77777777" w:rsidR="007B7567" w:rsidRDefault="007B7567" w:rsidP="002C6497">
      <w:pPr>
        <w:pStyle w:val="NoSpacing"/>
        <w:ind w:left="634"/>
      </w:pPr>
    </w:p>
    <w:p w14:paraId="1EA9B557" w14:textId="77777777" w:rsidR="007B7567" w:rsidRDefault="007B7567" w:rsidP="002C6497">
      <w:pPr>
        <w:pStyle w:val="NoSpacing"/>
        <w:ind w:left="634"/>
      </w:pPr>
    </w:p>
    <w:p w14:paraId="30AAC288" w14:textId="77777777" w:rsidR="007B7567" w:rsidRDefault="007B7567" w:rsidP="002C6497">
      <w:pPr>
        <w:pStyle w:val="NoSpacing"/>
        <w:ind w:left="634"/>
      </w:pPr>
    </w:p>
    <w:p w14:paraId="68CCD3DA" w14:textId="77777777" w:rsidR="007B7567" w:rsidRDefault="007B7567" w:rsidP="002C6497">
      <w:pPr>
        <w:pStyle w:val="NoSpacing"/>
        <w:ind w:left="634"/>
      </w:pPr>
    </w:p>
    <w:p w14:paraId="2CF08449" w14:textId="77777777" w:rsidR="007B7567" w:rsidRDefault="007B7567" w:rsidP="002C6497">
      <w:pPr>
        <w:pStyle w:val="NoSpacing"/>
        <w:ind w:left="634"/>
      </w:pPr>
    </w:p>
    <w:p w14:paraId="4C6C161E" w14:textId="77777777" w:rsidR="007B7567" w:rsidRDefault="007B7567" w:rsidP="002C6497">
      <w:pPr>
        <w:pStyle w:val="NoSpacing"/>
        <w:ind w:left="634"/>
      </w:pPr>
    </w:p>
    <w:p w14:paraId="3ACF6043" w14:textId="77777777" w:rsidR="007B7567" w:rsidRDefault="007B7567" w:rsidP="002C6497">
      <w:pPr>
        <w:pStyle w:val="NoSpacing"/>
        <w:ind w:left="634"/>
      </w:pPr>
    </w:p>
    <w:p w14:paraId="407B9889" w14:textId="77777777" w:rsidR="007B7567" w:rsidRDefault="007B7567" w:rsidP="002C6497">
      <w:pPr>
        <w:pStyle w:val="NoSpacing"/>
        <w:ind w:left="634"/>
      </w:pPr>
    </w:p>
    <w:p w14:paraId="33DE3C7B" w14:textId="77777777" w:rsidR="007B7567" w:rsidRDefault="007B7567" w:rsidP="002C6497">
      <w:pPr>
        <w:pStyle w:val="NoSpacing"/>
        <w:ind w:left="634"/>
      </w:pPr>
    </w:p>
    <w:p w14:paraId="29C36CAE" w14:textId="77777777" w:rsidR="007B7567" w:rsidRDefault="007B7567" w:rsidP="002C6497">
      <w:pPr>
        <w:pStyle w:val="NoSpacing"/>
        <w:ind w:left="634"/>
      </w:pPr>
    </w:p>
    <w:p w14:paraId="6419AE91" w14:textId="77777777" w:rsidR="007B7567" w:rsidRDefault="007B7567" w:rsidP="002C6497">
      <w:pPr>
        <w:pStyle w:val="NoSpacing"/>
        <w:ind w:left="634"/>
      </w:pPr>
    </w:p>
    <w:p w14:paraId="79EBA8BD" w14:textId="77777777" w:rsidR="007B7567" w:rsidRDefault="007B7567" w:rsidP="002C6497">
      <w:pPr>
        <w:pStyle w:val="NoSpacing"/>
        <w:ind w:left="634"/>
      </w:pPr>
    </w:p>
    <w:p w14:paraId="2A2C0DDC" w14:textId="77777777" w:rsidR="007B7567" w:rsidRDefault="007B7567" w:rsidP="002C6497">
      <w:pPr>
        <w:pStyle w:val="NoSpacing"/>
        <w:ind w:left="634"/>
      </w:pPr>
    </w:p>
    <w:p w14:paraId="19A2F371" w14:textId="77777777" w:rsidR="007B7567" w:rsidRDefault="007B7567" w:rsidP="002C6497">
      <w:pPr>
        <w:pStyle w:val="NoSpacing"/>
        <w:ind w:left="634"/>
      </w:pPr>
    </w:p>
    <w:p w14:paraId="7C6B4550" w14:textId="77777777" w:rsidR="00510677" w:rsidRDefault="00510677" w:rsidP="002C6497">
      <w:pPr>
        <w:pStyle w:val="NoSpacing"/>
        <w:ind w:left="634"/>
      </w:pPr>
    </w:p>
    <w:p w14:paraId="13FCEA0B" w14:textId="115C9D12" w:rsidR="00510677" w:rsidRDefault="00510677" w:rsidP="002C6497">
      <w:pPr>
        <w:pStyle w:val="NoSpacing"/>
        <w:ind w:left="634"/>
        <w:jc w:val="center"/>
      </w:pPr>
      <w:r>
        <w:rPr>
          <w:noProof/>
        </w:rPr>
        <w:lastRenderedPageBreak/>
        <mc:AlternateContent>
          <mc:Choice Requires="wps">
            <w:drawing>
              <wp:anchor distT="0" distB="0" distL="114300" distR="114300" simplePos="0" relativeHeight="251659264" behindDoc="0" locked="0" layoutInCell="1" allowOverlap="1" wp14:anchorId="29027D2E" wp14:editId="7BBC58A0">
                <wp:simplePos x="0" y="0"/>
                <wp:positionH relativeFrom="column">
                  <wp:posOffset>227737</wp:posOffset>
                </wp:positionH>
                <wp:positionV relativeFrom="paragraph">
                  <wp:posOffset>34482</wp:posOffset>
                </wp:positionV>
                <wp:extent cx="6400800" cy="258792"/>
                <wp:effectExtent l="0" t="0" r="19050" b="27305"/>
                <wp:wrapNone/>
                <wp:docPr id="1377476711" name="Text Box 1"/>
                <wp:cNvGraphicFramePr/>
                <a:graphic xmlns:a="http://schemas.openxmlformats.org/drawingml/2006/main">
                  <a:graphicData uri="http://schemas.microsoft.com/office/word/2010/wordprocessingShape">
                    <wps:wsp>
                      <wps:cNvSpPr txBox="1"/>
                      <wps:spPr>
                        <a:xfrm>
                          <a:off x="0" y="0"/>
                          <a:ext cx="6400800" cy="258792"/>
                        </a:xfrm>
                        <a:prstGeom prst="rect">
                          <a:avLst/>
                        </a:prstGeom>
                        <a:solidFill>
                          <a:schemeClr val="tx2">
                            <a:lumMod val="40000"/>
                            <a:lumOff val="60000"/>
                          </a:schemeClr>
                        </a:solidFill>
                        <a:ln w="6350">
                          <a:solidFill>
                            <a:prstClr val="black"/>
                          </a:solidFill>
                        </a:ln>
                      </wps:spPr>
                      <wps:txbx>
                        <w:txbxContent>
                          <w:p w14:paraId="3D3A8DB4" w14:textId="2C5571B3" w:rsidR="00510677" w:rsidRDefault="00510677" w:rsidP="00510677">
                            <w:pPr>
                              <w:jc w:val="center"/>
                            </w:pPr>
                            <w:r>
                              <w:t>Required Updates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027D2E" id="_x0000_t202" coordsize="21600,21600" o:spt="202" path="m,l,21600r21600,l21600,xe">
                <v:stroke joinstyle="miter"/>
                <v:path gradientshapeok="t" o:connecttype="rect"/>
              </v:shapetype>
              <v:shape id="Text Box 1" o:spid="_x0000_s1026" type="#_x0000_t202" style="position:absolute;left:0;text-align:left;margin-left:17.95pt;margin-top:2.7pt;width:7in;height:2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" fillcolor="#8db3e2 [1311]" strokeweight=".5pt">
                <v:textbox>
                  <w:txbxContent>
                    <w:p w14:paraId="3D3A8DB4" w14:textId="2C5571B3" w:rsidR="00510677" w:rsidRDefault="00510677" w:rsidP="00510677">
                      <w:pPr>
                        <w:jc w:val="center"/>
                      </w:pPr>
                      <w:r>
                        <w:t>Required Updates</w:t>
                      </w:r>
                    </w:p>
                  </w:txbxContent>
                </v:textbox>
              </v:shape>
            </w:pict>
          </mc:Fallback>
        </mc:AlternateContent>
      </w:r>
    </w:p>
    <w:p w14:paraId="37110969" w14:textId="77777777" w:rsidR="00510677" w:rsidRPr="00510677" w:rsidRDefault="00510677" w:rsidP="002C6497">
      <w:pPr>
        <w:pStyle w:val="NoSpacing"/>
        <w:ind w:left="634"/>
      </w:pPr>
    </w:p>
    <w:p w14:paraId="0EFF855C" w14:textId="77777777" w:rsidR="00510677" w:rsidRPr="00510677" w:rsidRDefault="00510677" w:rsidP="002C6497">
      <w:pPr>
        <w:pStyle w:val="NoSpacing"/>
        <w:ind w:left="634"/>
      </w:pPr>
    </w:p>
    <w:p w14:paraId="09BCA398" w14:textId="77777777" w:rsidR="0033103D" w:rsidRPr="00B90F0A" w:rsidRDefault="0033103D" w:rsidP="0098747A">
      <w:pPr>
        <w:pStyle w:val="NoSpacing"/>
        <w:numPr>
          <w:ilvl w:val="0"/>
          <w:numId w:val="4"/>
        </w:numPr>
        <w:ind w:left="994"/>
        <w:rPr>
          <w:rFonts w:cstheme="minorHAnsi"/>
        </w:rPr>
      </w:pPr>
      <w:r w:rsidRPr="00B90F0A">
        <w:rPr>
          <w:rFonts w:cstheme="minorHAnsi"/>
          <w:b/>
          <w:bCs/>
        </w:rPr>
        <w:t>[Discovery 1]:</w:t>
      </w:r>
      <w:r w:rsidRPr="00B90F0A">
        <w:rPr>
          <w:rFonts w:cstheme="minorHAnsi"/>
        </w:rPr>
        <w:t xml:space="preserve"> Originators are being notified of Rejects/Returns/NOC’s by unsecured email. </w:t>
      </w:r>
    </w:p>
    <w:p w14:paraId="24DCB7FE" w14:textId="77777777" w:rsidR="0033103D" w:rsidRPr="00B90F0A" w:rsidRDefault="0033103D" w:rsidP="002C6497">
      <w:pPr>
        <w:pStyle w:val="NoSpacing"/>
        <w:ind w:left="634"/>
        <w:rPr>
          <w:rFonts w:cstheme="minorHAnsi"/>
        </w:rPr>
      </w:pPr>
    </w:p>
    <w:p w14:paraId="428B4079" w14:textId="1AA383CB" w:rsidR="0033103D" w:rsidRPr="00B90F0A" w:rsidRDefault="0033103D" w:rsidP="0098747A">
      <w:pPr>
        <w:pStyle w:val="NoSpacing"/>
        <w:numPr>
          <w:ilvl w:val="0"/>
          <w:numId w:val="4"/>
        </w:numPr>
        <w:ind w:left="994"/>
        <w:rPr>
          <w:rFonts w:cstheme="minorHAnsi"/>
          <w:i/>
          <w:iCs/>
        </w:rPr>
      </w:pPr>
      <w:r w:rsidRPr="00B90F0A">
        <w:rPr>
          <w:rFonts w:cstheme="minorHAnsi"/>
          <w:b/>
          <w:bCs/>
        </w:rPr>
        <w:t>[Required Update 1]:</w:t>
      </w:r>
      <w:r w:rsidRPr="00B90F0A">
        <w:rPr>
          <w:rFonts w:cstheme="minorHAnsi"/>
        </w:rPr>
        <w:t xml:space="preserve"> Under Nacha Operating Rules, Third-Party Senders are required to use secure methods when sending NOCs to originators.</w:t>
      </w:r>
      <w:r w:rsidR="00DA4010" w:rsidRPr="00B90F0A">
        <w:rPr>
          <w:rFonts w:cstheme="minorHAnsi"/>
        </w:rPr>
        <w:t xml:space="preserve"> </w:t>
      </w:r>
      <w:r w:rsidR="00954909" w:rsidRPr="00B90F0A">
        <w:rPr>
          <w:rFonts w:cstheme="minorHAnsi"/>
        </w:rPr>
        <w:t>Article One, Subsection 1.7, Secure Transmission of ACH Information via Unsecured Electronic Networks.</w:t>
      </w:r>
      <w:r w:rsidRPr="00B90F0A">
        <w:rPr>
          <w:rFonts w:cstheme="minorHAnsi"/>
        </w:rPr>
        <w:t xml:space="preserve"> NOCs can contain protected information.</w:t>
      </w:r>
    </w:p>
    <w:p w14:paraId="73353A72" w14:textId="77777777" w:rsidR="0033103D" w:rsidRPr="00B90F0A" w:rsidRDefault="0033103D" w:rsidP="002C6497">
      <w:pPr>
        <w:pStyle w:val="NoSpacing"/>
        <w:ind w:left="634"/>
        <w:rPr>
          <w:rFonts w:cstheme="minorHAnsi"/>
          <w:i/>
          <w:iCs/>
        </w:rPr>
      </w:pPr>
    </w:p>
    <w:p w14:paraId="5C2CE00F" w14:textId="0EC7464E" w:rsidR="00CB3881" w:rsidRPr="00B90F0A" w:rsidRDefault="0033103D" w:rsidP="0098747A">
      <w:pPr>
        <w:pStyle w:val="NoSpacing"/>
        <w:numPr>
          <w:ilvl w:val="0"/>
          <w:numId w:val="4"/>
        </w:numPr>
        <w:ind w:left="994"/>
        <w:rPr>
          <w:rFonts w:cstheme="minorHAnsi"/>
          <w:i/>
          <w:iCs/>
        </w:rPr>
      </w:pPr>
      <w:r w:rsidRPr="00B90F0A">
        <w:rPr>
          <w:rFonts w:cstheme="minorHAnsi"/>
          <w:b/>
          <w:bCs/>
        </w:rPr>
        <w:t xml:space="preserve">[Discovery 2]: </w:t>
      </w:r>
      <w:r w:rsidRPr="00B90F0A">
        <w:rPr>
          <w:rFonts w:cstheme="minorHAnsi"/>
        </w:rPr>
        <w:t>ACH Risk Management Program section was left incomplete, lacking the confirmation that Bradley Company</w:t>
      </w:r>
      <w:r w:rsidR="007B7567" w:rsidRPr="00B90F0A">
        <w:rPr>
          <w:rFonts w:cstheme="minorHAnsi"/>
        </w:rPr>
        <w:t xml:space="preserve"> LLC</w:t>
      </w:r>
      <w:r w:rsidRPr="00B90F0A">
        <w:rPr>
          <w:rFonts w:cstheme="minorHAnsi"/>
        </w:rPr>
        <w:t xml:space="preserve"> has the required policies in place. </w:t>
      </w:r>
    </w:p>
    <w:p w14:paraId="4D9A27E2" w14:textId="77777777" w:rsidR="002C6497" w:rsidRPr="00B90F0A" w:rsidRDefault="002C6497" w:rsidP="002C6497">
      <w:pPr>
        <w:pStyle w:val="NoSpacing"/>
        <w:ind w:left="634"/>
        <w:rPr>
          <w:rFonts w:cstheme="minorHAnsi"/>
          <w:i/>
          <w:iCs/>
        </w:rPr>
      </w:pPr>
    </w:p>
    <w:p w14:paraId="4AB522EF" w14:textId="6E0B9684" w:rsidR="0033103D" w:rsidRPr="0098747A" w:rsidRDefault="0033103D" w:rsidP="0098747A">
      <w:pPr>
        <w:pStyle w:val="NoSpacing"/>
        <w:numPr>
          <w:ilvl w:val="0"/>
          <w:numId w:val="4"/>
        </w:numPr>
        <w:ind w:left="994"/>
        <w:rPr>
          <w:rFonts w:cstheme="minorHAnsi"/>
          <w:i/>
          <w:iCs/>
        </w:rPr>
      </w:pPr>
      <w:r w:rsidRPr="00B90F0A">
        <w:rPr>
          <w:rFonts w:cstheme="minorHAnsi"/>
          <w:b/>
          <w:bCs/>
        </w:rPr>
        <w:t>[Required Update 2]:</w:t>
      </w:r>
      <w:r w:rsidRPr="00B90F0A">
        <w:rPr>
          <w:rFonts w:cstheme="minorHAnsi"/>
        </w:rPr>
        <w:t xml:space="preserve"> At a minimum ACH Management Policy or other policy must include</w:t>
      </w:r>
      <w:r w:rsidR="00395ACD" w:rsidRPr="00B90F0A">
        <w:rPr>
          <w:rFonts w:cstheme="minorHAnsi"/>
        </w:rPr>
        <w:t>:</w:t>
      </w:r>
      <w:r w:rsidRPr="00B90F0A">
        <w:rPr>
          <w:rFonts w:cstheme="minorHAnsi"/>
        </w:rPr>
        <w:t xml:space="preserve"> </w:t>
      </w:r>
    </w:p>
    <w:p w14:paraId="44E476F6" w14:textId="77777777" w:rsidR="0098747A" w:rsidRPr="00B90F0A" w:rsidRDefault="0098747A" w:rsidP="0098747A">
      <w:pPr>
        <w:pStyle w:val="NoSpacing"/>
        <w:ind w:left="634"/>
        <w:rPr>
          <w:rFonts w:cstheme="minorHAnsi"/>
          <w:i/>
          <w:iCs/>
        </w:rPr>
      </w:pPr>
    </w:p>
    <w:p w14:paraId="770B2C49" w14:textId="6123C6D4" w:rsidR="0033103D" w:rsidRPr="00B90F0A" w:rsidRDefault="0033103D" w:rsidP="002C6497">
      <w:pPr>
        <w:pStyle w:val="NoSpacing"/>
        <w:numPr>
          <w:ilvl w:val="2"/>
          <w:numId w:val="4"/>
        </w:numPr>
        <w:rPr>
          <w:rFonts w:cstheme="minorHAnsi"/>
          <w:i/>
          <w:iCs/>
        </w:rPr>
      </w:pPr>
      <w:r w:rsidRPr="00B90F0A">
        <w:rPr>
          <w:rFonts w:cstheme="minorHAnsi"/>
        </w:rPr>
        <w:t>Types of Entries Accepted</w:t>
      </w:r>
    </w:p>
    <w:p w14:paraId="02AEF02C" w14:textId="77777777" w:rsidR="0033103D" w:rsidRPr="00B90F0A" w:rsidRDefault="0033103D" w:rsidP="002C6497">
      <w:pPr>
        <w:pStyle w:val="NoSpacing"/>
        <w:numPr>
          <w:ilvl w:val="2"/>
          <w:numId w:val="4"/>
        </w:numPr>
        <w:rPr>
          <w:rFonts w:cstheme="minorHAnsi"/>
          <w:i/>
          <w:iCs/>
        </w:rPr>
      </w:pPr>
      <w:r w:rsidRPr="00B90F0A">
        <w:rPr>
          <w:rFonts w:cstheme="minorHAnsi"/>
        </w:rPr>
        <w:t>Data Security/IT Requirements for ACH Processing</w:t>
      </w:r>
    </w:p>
    <w:p w14:paraId="0C408102" w14:textId="21F91DDC" w:rsidR="0033103D" w:rsidRPr="00B90F0A" w:rsidRDefault="0033103D" w:rsidP="002C6497">
      <w:pPr>
        <w:pStyle w:val="NoSpacing"/>
        <w:numPr>
          <w:ilvl w:val="2"/>
          <w:numId w:val="4"/>
        </w:numPr>
        <w:rPr>
          <w:rFonts w:cstheme="minorHAnsi"/>
          <w:i/>
          <w:iCs/>
        </w:rPr>
      </w:pPr>
      <w:r w:rsidRPr="00B90F0A">
        <w:rPr>
          <w:rFonts w:cstheme="minorHAnsi"/>
        </w:rPr>
        <w:t xml:space="preserve">ACH Risk Management, </w:t>
      </w:r>
      <w:r w:rsidR="00BE39E5" w:rsidRPr="00B90F0A">
        <w:rPr>
          <w:rFonts w:cstheme="minorHAnsi"/>
        </w:rPr>
        <w:t>receipt,</w:t>
      </w:r>
      <w:r w:rsidRPr="00B90F0A">
        <w:rPr>
          <w:rFonts w:cstheme="minorHAnsi"/>
        </w:rPr>
        <w:t xml:space="preserve"> and origination</w:t>
      </w:r>
    </w:p>
    <w:p w14:paraId="21A1E5F9" w14:textId="77777777" w:rsidR="0033103D" w:rsidRPr="00B90F0A" w:rsidRDefault="0033103D" w:rsidP="002C6497">
      <w:pPr>
        <w:pStyle w:val="NoSpacing"/>
        <w:numPr>
          <w:ilvl w:val="2"/>
          <w:numId w:val="4"/>
        </w:numPr>
        <w:rPr>
          <w:rFonts w:cstheme="minorHAnsi"/>
          <w:i/>
          <w:iCs/>
        </w:rPr>
      </w:pPr>
      <w:r w:rsidRPr="00B90F0A">
        <w:rPr>
          <w:rFonts w:cstheme="minorHAnsi"/>
        </w:rPr>
        <w:t>Receipt of Entries and Exception Handling, Including Federal Government payments</w:t>
      </w:r>
    </w:p>
    <w:p w14:paraId="5B004D6C" w14:textId="1B4CE547" w:rsidR="0033103D" w:rsidRPr="00B90F0A" w:rsidRDefault="0033103D" w:rsidP="002C6497">
      <w:pPr>
        <w:pStyle w:val="NoSpacing"/>
        <w:numPr>
          <w:ilvl w:val="2"/>
          <w:numId w:val="4"/>
        </w:numPr>
        <w:rPr>
          <w:rFonts w:cstheme="minorHAnsi"/>
          <w:i/>
          <w:iCs/>
        </w:rPr>
      </w:pPr>
      <w:r w:rsidRPr="00B90F0A">
        <w:rPr>
          <w:rFonts w:cstheme="minorHAnsi"/>
        </w:rPr>
        <w:t>ACH origination activities</w:t>
      </w:r>
    </w:p>
    <w:p w14:paraId="35A7203C" w14:textId="77777777" w:rsidR="0033103D" w:rsidRPr="00B90F0A" w:rsidRDefault="0033103D" w:rsidP="002C6497">
      <w:pPr>
        <w:pStyle w:val="NoSpacing"/>
        <w:ind w:left="634"/>
        <w:rPr>
          <w:rFonts w:cstheme="minorHAnsi"/>
          <w:i/>
          <w:iCs/>
        </w:rPr>
      </w:pPr>
    </w:p>
    <w:p w14:paraId="678C607B" w14:textId="51634478" w:rsidR="0033103D" w:rsidRPr="00B90F0A" w:rsidRDefault="0033103D" w:rsidP="0098747A">
      <w:pPr>
        <w:pStyle w:val="NoSpacing"/>
        <w:numPr>
          <w:ilvl w:val="0"/>
          <w:numId w:val="4"/>
        </w:numPr>
        <w:ind w:left="994"/>
        <w:rPr>
          <w:rFonts w:cstheme="minorHAnsi"/>
          <w:i/>
          <w:iCs/>
        </w:rPr>
      </w:pPr>
      <w:r w:rsidRPr="00B90F0A">
        <w:rPr>
          <w:rFonts w:cstheme="minorHAnsi"/>
          <w:b/>
          <w:bCs/>
        </w:rPr>
        <w:t>[Discovery 3]:</w:t>
      </w:r>
      <w:r w:rsidRPr="00B90F0A">
        <w:rPr>
          <w:rFonts w:cstheme="minorHAnsi"/>
        </w:rPr>
        <w:t xml:space="preserve"> Bradley Company </w:t>
      </w:r>
      <w:r w:rsidR="007B7567" w:rsidRPr="00B90F0A">
        <w:rPr>
          <w:rFonts w:cstheme="minorHAnsi"/>
        </w:rPr>
        <w:t xml:space="preserve">LLC </w:t>
      </w:r>
      <w:r w:rsidRPr="00B90F0A">
        <w:rPr>
          <w:rFonts w:cstheme="minorHAnsi"/>
        </w:rPr>
        <w:t xml:space="preserve">currently has not implemented ACH Risk Management program. </w:t>
      </w:r>
    </w:p>
    <w:p w14:paraId="0F5E41DA" w14:textId="77777777" w:rsidR="0033103D" w:rsidRPr="00B90F0A" w:rsidRDefault="0033103D" w:rsidP="002C6497">
      <w:pPr>
        <w:pStyle w:val="NoSpacing"/>
        <w:ind w:left="634"/>
        <w:rPr>
          <w:rFonts w:cstheme="minorHAnsi"/>
          <w:i/>
          <w:iCs/>
        </w:rPr>
      </w:pPr>
    </w:p>
    <w:p w14:paraId="5D9F1B21" w14:textId="6AD1DC9C" w:rsidR="0033103D" w:rsidRPr="0098747A" w:rsidRDefault="0033103D" w:rsidP="0098747A">
      <w:pPr>
        <w:pStyle w:val="NoSpacing"/>
        <w:numPr>
          <w:ilvl w:val="0"/>
          <w:numId w:val="4"/>
        </w:numPr>
        <w:ind w:left="994"/>
        <w:rPr>
          <w:rFonts w:cstheme="minorHAnsi"/>
          <w:i/>
          <w:iCs/>
        </w:rPr>
      </w:pPr>
      <w:r w:rsidRPr="00B90F0A">
        <w:rPr>
          <w:rFonts w:cstheme="minorHAnsi"/>
          <w:b/>
          <w:bCs/>
        </w:rPr>
        <w:t>[Required Update 3]:</w:t>
      </w:r>
      <w:r w:rsidRPr="00B90F0A">
        <w:rPr>
          <w:rFonts w:cstheme="minorHAnsi"/>
        </w:rPr>
        <w:t xml:space="preserve"> </w:t>
      </w:r>
      <w:r w:rsidR="0030634D" w:rsidRPr="00B90F0A">
        <w:rPr>
          <w:rFonts w:cstheme="minorHAnsi"/>
        </w:rPr>
        <w:t xml:space="preserve">Article One, </w:t>
      </w:r>
      <w:r w:rsidRPr="00B90F0A">
        <w:rPr>
          <w:rFonts w:cstheme="minorHAnsi"/>
        </w:rPr>
        <w:t>Subsection 1.2.4</w:t>
      </w:r>
      <w:r w:rsidR="0030634D" w:rsidRPr="00B90F0A">
        <w:rPr>
          <w:rFonts w:cstheme="minorHAnsi"/>
        </w:rPr>
        <w:t>,</w:t>
      </w:r>
      <w:r w:rsidRPr="00B90F0A">
        <w:rPr>
          <w:rFonts w:cstheme="minorHAnsi"/>
        </w:rPr>
        <w:t xml:space="preserve"> Risk Assessments – Third-Party Senders must:</w:t>
      </w:r>
    </w:p>
    <w:p w14:paraId="262ECC07" w14:textId="77777777" w:rsidR="0098747A" w:rsidRPr="0098747A" w:rsidRDefault="0098747A" w:rsidP="0098747A">
      <w:pPr>
        <w:pStyle w:val="NoSpacing"/>
        <w:ind w:left="2160"/>
        <w:rPr>
          <w:rFonts w:cstheme="minorHAnsi"/>
          <w:i/>
          <w:iCs/>
        </w:rPr>
      </w:pPr>
    </w:p>
    <w:p w14:paraId="3BE09AC1" w14:textId="5C82EF9A" w:rsidR="0033103D" w:rsidRPr="00B90F0A" w:rsidRDefault="0033103D" w:rsidP="002C6497">
      <w:pPr>
        <w:pStyle w:val="NoSpacing"/>
        <w:numPr>
          <w:ilvl w:val="2"/>
          <w:numId w:val="4"/>
        </w:numPr>
        <w:rPr>
          <w:rFonts w:cstheme="minorHAnsi"/>
          <w:i/>
          <w:iCs/>
        </w:rPr>
      </w:pPr>
      <w:r w:rsidRPr="00B90F0A">
        <w:rPr>
          <w:rFonts w:cstheme="minorHAnsi"/>
        </w:rPr>
        <w:t>Conduct, or have conducted, an assessment of the risk of its ACH activities</w:t>
      </w:r>
    </w:p>
    <w:p w14:paraId="329DA8D1" w14:textId="36FDF6A8" w:rsidR="0033103D" w:rsidRPr="00B90F0A" w:rsidRDefault="0033103D" w:rsidP="002C6497">
      <w:pPr>
        <w:pStyle w:val="NoSpacing"/>
        <w:numPr>
          <w:ilvl w:val="2"/>
          <w:numId w:val="4"/>
        </w:numPr>
        <w:rPr>
          <w:rFonts w:cstheme="minorHAnsi"/>
          <w:i/>
          <w:iCs/>
        </w:rPr>
      </w:pPr>
      <w:r w:rsidRPr="00B90F0A">
        <w:rPr>
          <w:rFonts w:cstheme="minorHAnsi"/>
        </w:rPr>
        <w:t>Implement, or have implemented, a risk management program on the basis of such an assessment</w:t>
      </w:r>
    </w:p>
    <w:p w14:paraId="6562376F" w14:textId="76939F84" w:rsidR="0033103D" w:rsidRPr="00B90F0A" w:rsidRDefault="0033103D" w:rsidP="002C6497">
      <w:pPr>
        <w:pStyle w:val="NoSpacing"/>
        <w:numPr>
          <w:ilvl w:val="2"/>
          <w:numId w:val="4"/>
        </w:numPr>
        <w:rPr>
          <w:rFonts w:cstheme="minorHAnsi"/>
          <w:i/>
          <w:iCs/>
        </w:rPr>
      </w:pPr>
      <w:r w:rsidRPr="00B90F0A">
        <w:rPr>
          <w:rFonts w:cstheme="minorHAnsi"/>
        </w:rPr>
        <w:t>Comply with the requirements of its regulations with the respect to such assessment and risk management program</w:t>
      </w:r>
    </w:p>
    <w:p w14:paraId="03F5918B" w14:textId="77777777" w:rsidR="0033103D" w:rsidRPr="00B90F0A" w:rsidRDefault="0033103D" w:rsidP="002C6497">
      <w:pPr>
        <w:pStyle w:val="NoSpacing"/>
        <w:ind w:left="634"/>
        <w:rPr>
          <w:rFonts w:cstheme="minorHAnsi"/>
          <w:i/>
          <w:iCs/>
        </w:rPr>
      </w:pPr>
    </w:p>
    <w:p w14:paraId="7EDD2A67" w14:textId="5C2BE627" w:rsidR="0033103D" w:rsidRPr="00B90F0A" w:rsidRDefault="0033103D" w:rsidP="0098747A">
      <w:pPr>
        <w:pStyle w:val="NoSpacing"/>
        <w:numPr>
          <w:ilvl w:val="0"/>
          <w:numId w:val="2"/>
        </w:numPr>
        <w:ind w:left="994"/>
        <w:rPr>
          <w:rFonts w:cstheme="minorHAnsi"/>
        </w:rPr>
      </w:pPr>
      <w:r w:rsidRPr="00B90F0A">
        <w:rPr>
          <w:rFonts w:cstheme="minorHAnsi"/>
          <w:b/>
          <w:bCs/>
        </w:rPr>
        <w:t>[Discovery 4]:</w:t>
      </w:r>
      <w:r w:rsidRPr="00B90F0A">
        <w:rPr>
          <w:rFonts w:cstheme="minorHAnsi"/>
        </w:rPr>
        <w:t xml:space="preserve"> Agreements have not been established between Bradley Company </w:t>
      </w:r>
      <w:r w:rsidR="007B7567" w:rsidRPr="00B90F0A">
        <w:rPr>
          <w:rFonts w:cstheme="minorHAnsi"/>
        </w:rPr>
        <w:t xml:space="preserve">LLC </w:t>
      </w:r>
      <w:r w:rsidRPr="00B90F0A">
        <w:rPr>
          <w:rFonts w:cstheme="minorHAnsi"/>
        </w:rPr>
        <w:t>and</w:t>
      </w:r>
      <w:r w:rsidR="00492132" w:rsidRPr="00B90F0A">
        <w:rPr>
          <w:rFonts w:cstheme="minorHAnsi"/>
        </w:rPr>
        <w:t xml:space="preserve"> each Originator, which legally binds both parties to comply with the Nacha Operating Rules &amp; Guidelines and acknowledges that Entries may not be initiated that violate the laws of the United States. </w:t>
      </w:r>
    </w:p>
    <w:p w14:paraId="05B0B85E" w14:textId="77777777" w:rsidR="0033103D" w:rsidRPr="00B90F0A" w:rsidRDefault="0033103D" w:rsidP="002C6497">
      <w:pPr>
        <w:pStyle w:val="NoSpacing"/>
        <w:ind w:left="634"/>
        <w:rPr>
          <w:rFonts w:cstheme="minorHAnsi"/>
        </w:rPr>
      </w:pPr>
    </w:p>
    <w:p w14:paraId="4E963A83" w14:textId="38B86B5D" w:rsidR="00492132" w:rsidRDefault="0033103D" w:rsidP="0098747A">
      <w:pPr>
        <w:pStyle w:val="NoSpacing"/>
        <w:numPr>
          <w:ilvl w:val="0"/>
          <w:numId w:val="4"/>
        </w:numPr>
        <w:ind w:left="994"/>
        <w:rPr>
          <w:rFonts w:cstheme="minorHAnsi"/>
        </w:rPr>
      </w:pPr>
      <w:r w:rsidRPr="00B90F0A">
        <w:rPr>
          <w:rFonts w:cstheme="minorHAnsi"/>
        </w:rPr>
        <w:t>[</w:t>
      </w:r>
      <w:r w:rsidRPr="00B90F0A">
        <w:rPr>
          <w:rFonts w:cstheme="minorHAnsi"/>
          <w:b/>
          <w:bCs/>
        </w:rPr>
        <w:t xml:space="preserve">Required Update 4]: </w:t>
      </w:r>
      <w:r w:rsidRPr="00B90F0A">
        <w:rPr>
          <w:rFonts w:cstheme="minorHAnsi"/>
        </w:rPr>
        <w:t xml:space="preserve">Bradley Company </w:t>
      </w:r>
      <w:r w:rsidR="007B7567" w:rsidRPr="00B90F0A">
        <w:rPr>
          <w:rFonts w:cstheme="minorHAnsi"/>
        </w:rPr>
        <w:t xml:space="preserve">LLC </w:t>
      </w:r>
      <w:r w:rsidRPr="00B90F0A">
        <w:rPr>
          <w:rFonts w:cstheme="minorHAnsi"/>
        </w:rPr>
        <w:t xml:space="preserve">enter into agreements with each Originator. </w:t>
      </w:r>
      <w:r w:rsidR="00BB2672" w:rsidRPr="00B90F0A">
        <w:rPr>
          <w:rFonts w:cstheme="minorHAnsi"/>
        </w:rPr>
        <w:t xml:space="preserve">Article Two, </w:t>
      </w:r>
      <w:r w:rsidRPr="00B90F0A">
        <w:rPr>
          <w:rFonts w:cstheme="minorHAnsi"/>
        </w:rPr>
        <w:t>Subsection 2.16.1.1</w:t>
      </w:r>
      <w:r w:rsidR="00BB2672" w:rsidRPr="00B90F0A">
        <w:rPr>
          <w:rFonts w:cstheme="minorHAnsi"/>
        </w:rPr>
        <w:t>,</w:t>
      </w:r>
      <w:r w:rsidRPr="00B90F0A">
        <w:rPr>
          <w:rFonts w:cstheme="minorHAnsi"/>
        </w:rPr>
        <w:t xml:space="preserve"> Third Party Sender Origination Agreement with an Originator or Nested Third-Party Sender. Those agreements must address the issues recommended in the Operating Guidelines of </w:t>
      </w:r>
      <w:r w:rsidR="002E3D7E" w:rsidRPr="00B90F0A">
        <w:rPr>
          <w:rFonts w:cstheme="minorHAnsi"/>
        </w:rPr>
        <w:t>Nacha</w:t>
      </w:r>
      <w:r w:rsidRPr="00B90F0A">
        <w:rPr>
          <w:rFonts w:cstheme="minorHAnsi"/>
        </w:rPr>
        <w:t xml:space="preserve"> Operating Rules &amp; Guidelines. </w:t>
      </w:r>
      <w:r w:rsidR="00A72A23" w:rsidRPr="00B90F0A">
        <w:rPr>
          <w:rFonts w:cstheme="minorHAnsi"/>
        </w:rPr>
        <w:t>Section VII – Appendices, Appendix C, Issues to Be Addressed in an Agreement with An Originator, pages OG 364-365.</w:t>
      </w:r>
    </w:p>
    <w:p w14:paraId="0238C4BA" w14:textId="77777777" w:rsidR="00852E57" w:rsidRDefault="00852E57" w:rsidP="00852E57">
      <w:pPr>
        <w:pStyle w:val="NoSpacing"/>
        <w:ind w:left="634"/>
        <w:rPr>
          <w:rFonts w:cstheme="minorHAnsi"/>
        </w:rPr>
      </w:pPr>
    </w:p>
    <w:p w14:paraId="623FE4E5" w14:textId="77777777" w:rsidR="00852E57" w:rsidRDefault="00852E57" w:rsidP="00852E57">
      <w:pPr>
        <w:pStyle w:val="NoSpacing"/>
        <w:ind w:left="634"/>
        <w:rPr>
          <w:rFonts w:cstheme="minorHAnsi"/>
        </w:rPr>
      </w:pPr>
    </w:p>
    <w:p w14:paraId="67EDFD9E" w14:textId="77777777" w:rsidR="00852E57" w:rsidRDefault="00852E57" w:rsidP="00852E57">
      <w:pPr>
        <w:pStyle w:val="NoSpacing"/>
        <w:ind w:left="634"/>
        <w:rPr>
          <w:rFonts w:cstheme="minorHAnsi"/>
        </w:rPr>
      </w:pPr>
    </w:p>
    <w:p w14:paraId="7828965E" w14:textId="77777777" w:rsidR="00852E57" w:rsidRDefault="00852E57" w:rsidP="00852E57">
      <w:pPr>
        <w:pStyle w:val="NoSpacing"/>
        <w:ind w:left="634"/>
        <w:rPr>
          <w:rFonts w:cstheme="minorHAnsi"/>
        </w:rPr>
      </w:pPr>
    </w:p>
    <w:p w14:paraId="2F500F35" w14:textId="77777777" w:rsidR="00852E57" w:rsidRPr="00B90F0A" w:rsidRDefault="00852E57" w:rsidP="00852E57">
      <w:pPr>
        <w:pStyle w:val="NoSpacing"/>
        <w:ind w:left="634"/>
        <w:rPr>
          <w:rFonts w:cstheme="minorHAnsi"/>
        </w:rPr>
      </w:pPr>
    </w:p>
    <w:p w14:paraId="26177FBF" w14:textId="77777777" w:rsidR="0033103D" w:rsidRPr="00B90F0A" w:rsidRDefault="0033103D" w:rsidP="002C6497">
      <w:pPr>
        <w:pStyle w:val="NoSpacing"/>
        <w:ind w:left="634"/>
        <w:rPr>
          <w:rFonts w:cstheme="minorHAnsi"/>
        </w:rPr>
      </w:pPr>
    </w:p>
    <w:p w14:paraId="75FB2A3A" w14:textId="77777777" w:rsidR="00466A63" w:rsidRPr="00B90F0A" w:rsidRDefault="0033103D" w:rsidP="0098747A">
      <w:pPr>
        <w:pStyle w:val="NoSpacing"/>
        <w:numPr>
          <w:ilvl w:val="0"/>
          <w:numId w:val="4"/>
        </w:numPr>
        <w:ind w:left="994"/>
        <w:rPr>
          <w:rFonts w:cstheme="minorHAnsi"/>
          <w:i/>
          <w:iCs/>
        </w:rPr>
      </w:pPr>
      <w:r w:rsidRPr="00B90F0A">
        <w:rPr>
          <w:rFonts w:cstheme="minorHAnsi"/>
          <w:b/>
          <w:bCs/>
        </w:rPr>
        <w:lastRenderedPageBreak/>
        <w:t xml:space="preserve">[Discovery 5]: </w:t>
      </w:r>
      <w:r w:rsidRPr="00B90F0A">
        <w:rPr>
          <w:rFonts w:cstheme="minorHAnsi"/>
        </w:rPr>
        <w:t xml:space="preserve">Bradley </w:t>
      </w:r>
      <w:r w:rsidR="002E3D7E" w:rsidRPr="00B90F0A">
        <w:rPr>
          <w:rFonts w:cstheme="minorHAnsi"/>
        </w:rPr>
        <w:t>C</w:t>
      </w:r>
      <w:r w:rsidRPr="00B90F0A">
        <w:rPr>
          <w:rFonts w:cstheme="minorHAnsi"/>
        </w:rPr>
        <w:t xml:space="preserve">ompany </w:t>
      </w:r>
      <w:r w:rsidR="007B7567" w:rsidRPr="00B90F0A">
        <w:rPr>
          <w:rFonts w:cstheme="minorHAnsi"/>
        </w:rPr>
        <w:t xml:space="preserve">LLC </w:t>
      </w:r>
      <w:bookmarkStart w:id="0" w:name="_Hlk210743909"/>
      <w:r w:rsidRPr="00B90F0A">
        <w:rPr>
          <w:rFonts w:cstheme="minorHAnsi"/>
        </w:rPr>
        <w:t xml:space="preserve">currently does not have written policies or procedures for underwriting Originator’s exposure limits. </w:t>
      </w:r>
      <w:bookmarkEnd w:id="0"/>
    </w:p>
    <w:p w14:paraId="6BAE1901" w14:textId="77777777" w:rsidR="0098747A" w:rsidRDefault="0098747A" w:rsidP="0098747A">
      <w:pPr>
        <w:pStyle w:val="ListParagraph"/>
        <w:rPr>
          <w:rFonts w:cstheme="minorHAnsi"/>
          <w:b/>
          <w:bCs/>
        </w:rPr>
      </w:pPr>
    </w:p>
    <w:p w14:paraId="67F2D043" w14:textId="1B770F40" w:rsidR="007B7567" w:rsidRPr="00B90F0A" w:rsidRDefault="0033103D" w:rsidP="0098747A">
      <w:pPr>
        <w:pStyle w:val="NoSpacing"/>
        <w:numPr>
          <w:ilvl w:val="0"/>
          <w:numId w:val="4"/>
        </w:numPr>
        <w:ind w:left="994"/>
        <w:rPr>
          <w:rFonts w:cstheme="minorHAnsi"/>
          <w:i/>
          <w:iCs/>
        </w:rPr>
      </w:pPr>
      <w:r w:rsidRPr="00B90F0A">
        <w:rPr>
          <w:rFonts w:cstheme="minorHAnsi"/>
          <w:b/>
          <w:bCs/>
        </w:rPr>
        <w:t>[Required Update 5]</w:t>
      </w:r>
      <w:r w:rsidR="006507ED" w:rsidRPr="00B90F0A">
        <w:rPr>
          <w:rFonts w:cstheme="minorHAnsi"/>
          <w:b/>
          <w:bCs/>
        </w:rPr>
        <w:t>:</w:t>
      </w:r>
      <w:r w:rsidR="006507ED" w:rsidRPr="00B90F0A">
        <w:rPr>
          <w:rFonts w:cstheme="minorHAnsi"/>
        </w:rPr>
        <w:t xml:space="preserve"> Bradley Company LLC set exposure limits for each Originator. </w:t>
      </w:r>
      <w:r w:rsidR="00BB2672" w:rsidRPr="00B90F0A">
        <w:rPr>
          <w:rFonts w:cstheme="minorHAnsi"/>
        </w:rPr>
        <w:t>Article Two, Subsection 2.2.3, ODFI Risk Management.</w:t>
      </w:r>
      <w:r w:rsidR="006507ED" w:rsidRPr="00B90F0A">
        <w:rPr>
          <w:rFonts w:cstheme="minorHAnsi"/>
        </w:rPr>
        <w:t xml:space="preserve"> Conduct periodic reviews of those exposure limits, informing the originators how their exposure limit has been established and what action to take if that exposure limit is exceeded.</w:t>
      </w:r>
    </w:p>
    <w:p w14:paraId="1E9C8433" w14:textId="52405E94" w:rsidR="00852E57" w:rsidRPr="00B90F0A" w:rsidRDefault="00B90F0A" w:rsidP="00694010">
      <w:pPr>
        <w:pStyle w:val="ListParagraph"/>
        <w:rPr>
          <w:rFonts w:cstheme="minorHAnsi"/>
        </w:rPr>
      </w:pPr>
      <w:r w:rsidRPr="00B90F0A">
        <w:rPr>
          <w:rFonts w:asciiTheme="minorHAnsi" w:hAnsiTheme="minorHAnsi" w:cstheme="minorHAnsi"/>
          <w:sz w:val="22"/>
          <w:szCs w:val="22"/>
        </w:rPr>
        <w:t xml:space="preserve">  </w:t>
      </w:r>
    </w:p>
    <w:p w14:paraId="5FC35A17" w14:textId="6F5A29ED" w:rsidR="00C56F0B" w:rsidRPr="00B90F0A" w:rsidRDefault="00C56F0B" w:rsidP="0098747A">
      <w:pPr>
        <w:pStyle w:val="NoSpacing"/>
        <w:numPr>
          <w:ilvl w:val="0"/>
          <w:numId w:val="4"/>
        </w:numPr>
        <w:ind w:left="994"/>
        <w:rPr>
          <w:rFonts w:cstheme="minorHAnsi"/>
          <w:b/>
          <w:bCs/>
        </w:rPr>
      </w:pPr>
      <w:r w:rsidRPr="00B90F0A">
        <w:rPr>
          <w:rFonts w:cstheme="minorHAnsi"/>
          <w:b/>
          <w:bCs/>
        </w:rPr>
        <w:t>[Discovery</w:t>
      </w:r>
      <w:r w:rsidR="003B7532" w:rsidRPr="00B90F0A">
        <w:rPr>
          <w:rFonts w:cstheme="minorHAnsi"/>
          <w:b/>
          <w:bCs/>
        </w:rPr>
        <w:t xml:space="preserve"> </w:t>
      </w:r>
      <w:r w:rsidR="00694010">
        <w:rPr>
          <w:rFonts w:cstheme="minorHAnsi"/>
          <w:b/>
          <w:bCs/>
        </w:rPr>
        <w:t>6</w:t>
      </w:r>
      <w:r w:rsidRPr="00B90F0A">
        <w:rPr>
          <w:rFonts w:cstheme="minorHAnsi"/>
          <w:b/>
          <w:bCs/>
        </w:rPr>
        <w:t>]:</w:t>
      </w:r>
      <w:r w:rsidRPr="00B90F0A">
        <w:rPr>
          <w:rFonts w:cstheme="minorHAnsi"/>
        </w:rPr>
        <w:t xml:space="preserve"> Authorization of retention has not been addressed in the Third-Party Sender/Originator (or Nested Third-Party Sender) </w:t>
      </w:r>
      <w:r w:rsidR="00CF4B0A" w:rsidRPr="00B90F0A">
        <w:rPr>
          <w:rFonts w:cstheme="minorHAnsi"/>
        </w:rPr>
        <w:t>agreement or</w:t>
      </w:r>
      <w:r w:rsidRPr="00B90F0A">
        <w:rPr>
          <w:rFonts w:cstheme="minorHAnsi"/>
        </w:rPr>
        <w:t xml:space="preserve"> otherwise made the Originators/Nested Third-Party Sender aware of their responsibilities regarding the retention</w:t>
      </w:r>
      <w:r w:rsidR="00C243E4" w:rsidRPr="00B90F0A">
        <w:rPr>
          <w:rFonts w:cstheme="minorHAnsi"/>
        </w:rPr>
        <w:t xml:space="preserve"> period</w:t>
      </w:r>
      <w:r w:rsidRPr="00B90F0A">
        <w:rPr>
          <w:rFonts w:cstheme="minorHAnsi"/>
        </w:rPr>
        <w:t xml:space="preserve"> of Record of Authorization. </w:t>
      </w:r>
    </w:p>
    <w:p w14:paraId="0FD82AE0" w14:textId="77777777" w:rsidR="00A04BE2" w:rsidRPr="00B90F0A" w:rsidRDefault="00A04BE2" w:rsidP="002C6497">
      <w:pPr>
        <w:pStyle w:val="NoSpacing"/>
        <w:ind w:left="634"/>
        <w:rPr>
          <w:rFonts w:cstheme="minorHAnsi"/>
        </w:rPr>
      </w:pPr>
    </w:p>
    <w:p w14:paraId="2D9F87AC" w14:textId="00113ACF" w:rsidR="00047284" w:rsidRPr="00B90F0A" w:rsidRDefault="00C56F0B" w:rsidP="0098747A">
      <w:pPr>
        <w:pStyle w:val="NoSpacing"/>
        <w:numPr>
          <w:ilvl w:val="0"/>
          <w:numId w:val="4"/>
        </w:numPr>
        <w:ind w:left="994"/>
        <w:rPr>
          <w:rFonts w:cstheme="minorHAnsi"/>
        </w:rPr>
      </w:pPr>
      <w:r w:rsidRPr="00B90F0A">
        <w:rPr>
          <w:rFonts w:cstheme="minorHAnsi"/>
          <w:b/>
          <w:bCs/>
        </w:rPr>
        <w:t xml:space="preserve">[Required Update </w:t>
      </w:r>
      <w:r w:rsidR="00694010">
        <w:rPr>
          <w:rFonts w:cstheme="minorHAnsi"/>
          <w:b/>
          <w:bCs/>
        </w:rPr>
        <w:t>6</w:t>
      </w:r>
      <w:r w:rsidRPr="00B90F0A">
        <w:rPr>
          <w:rFonts w:cstheme="minorHAnsi"/>
          <w:b/>
          <w:bCs/>
        </w:rPr>
        <w:t>]:</w:t>
      </w:r>
      <w:r w:rsidRPr="00B90F0A">
        <w:rPr>
          <w:rFonts w:cstheme="minorHAnsi"/>
        </w:rPr>
        <w:t xml:space="preserve"> Verbiage needs added to current agreement making the Originators/Nested Third-Party Senders aware of their responsibilities, noted in </w:t>
      </w:r>
      <w:r w:rsidR="00CF4B0A" w:rsidRPr="00B90F0A">
        <w:rPr>
          <w:rFonts w:cstheme="minorHAnsi"/>
        </w:rPr>
        <w:t xml:space="preserve">Article Two, </w:t>
      </w:r>
      <w:r w:rsidRPr="00B90F0A">
        <w:rPr>
          <w:rFonts w:cstheme="minorHAnsi"/>
        </w:rPr>
        <w:t>Subsection 2.16.6</w:t>
      </w:r>
      <w:r w:rsidR="00CF4B0A" w:rsidRPr="00B90F0A">
        <w:rPr>
          <w:rFonts w:cstheme="minorHAnsi"/>
        </w:rPr>
        <w:t>,</w:t>
      </w:r>
      <w:r w:rsidRPr="00B90F0A">
        <w:rPr>
          <w:rFonts w:cstheme="minorHAnsi"/>
        </w:rPr>
        <w:t xml:space="preserve"> Performance of Originator Responsibilities by Third-Party Senders</w:t>
      </w:r>
      <w:r w:rsidR="00CF4B0A" w:rsidRPr="00B90F0A">
        <w:rPr>
          <w:rFonts w:cstheme="minorHAnsi"/>
        </w:rPr>
        <w:t>.</w:t>
      </w:r>
    </w:p>
    <w:p w14:paraId="1A24C47F" w14:textId="77777777" w:rsidR="0098747A" w:rsidRPr="0098747A" w:rsidRDefault="0098747A" w:rsidP="0098747A">
      <w:pPr>
        <w:pStyle w:val="NoSpacing"/>
        <w:ind w:left="634"/>
        <w:rPr>
          <w:rFonts w:cstheme="minorHAnsi"/>
        </w:rPr>
      </w:pPr>
    </w:p>
    <w:p w14:paraId="5C248EC6" w14:textId="623F7683" w:rsidR="00047284" w:rsidRPr="00B90F0A" w:rsidRDefault="00047284" w:rsidP="0098747A">
      <w:pPr>
        <w:pStyle w:val="NoSpacing"/>
        <w:numPr>
          <w:ilvl w:val="0"/>
          <w:numId w:val="4"/>
        </w:numPr>
        <w:ind w:left="994"/>
        <w:rPr>
          <w:rFonts w:cstheme="minorHAnsi"/>
        </w:rPr>
      </w:pPr>
      <w:r w:rsidRPr="00B90F0A">
        <w:rPr>
          <w:rFonts w:cstheme="minorHAnsi"/>
          <w:b/>
          <w:bCs/>
        </w:rPr>
        <w:t xml:space="preserve">[Discovery </w:t>
      </w:r>
      <w:r w:rsidR="00694010">
        <w:rPr>
          <w:rFonts w:cstheme="minorHAnsi"/>
          <w:b/>
          <w:bCs/>
        </w:rPr>
        <w:t>7</w:t>
      </w:r>
      <w:r w:rsidRPr="00B90F0A">
        <w:rPr>
          <w:rFonts w:cstheme="minorHAnsi"/>
          <w:b/>
          <w:bCs/>
        </w:rPr>
        <w:t xml:space="preserve">]: </w:t>
      </w:r>
      <w:r w:rsidRPr="00B90F0A">
        <w:rPr>
          <w:rFonts w:cstheme="minorHAnsi"/>
        </w:rPr>
        <w:t xml:space="preserve">Current agreements do not identify which party is responsible for the creation of Reversal </w:t>
      </w:r>
      <w:r w:rsidR="00976479" w:rsidRPr="00B90F0A">
        <w:rPr>
          <w:rFonts w:cstheme="minorHAnsi"/>
        </w:rPr>
        <w:t>F</w:t>
      </w:r>
      <w:r w:rsidRPr="00B90F0A">
        <w:rPr>
          <w:rFonts w:cstheme="minorHAnsi"/>
        </w:rPr>
        <w:t xml:space="preserve">iles or Entries. </w:t>
      </w:r>
    </w:p>
    <w:p w14:paraId="0186321A" w14:textId="77777777" w:rsidR="00047284" w:rsidRPr="00B90F0A" w:rsidRDefault="00047284" w:rsidP="002C6497">
      <w:pPr>
        <w:pStyle w:val="NoSpacing"/>
        <w:ind w:left="634"/>
        <w:rPr>
          <w:rFonts w:cstheme="minorHAnsi"/>
        </w:rPr>
      </w:pPr>
    </w:p>
    <w:p w14:paraId="45BBA697" w14:textId="5DF78C14" w:rsidR="00F7529F" w:rsidRPr="00B90F0A" w:rsidRDefault="00047284" w:rsidP="0098747A">
      <w:pPr>
        <w:pStyle w:val="NoSpacing"/>
        <w:numPr>
          <w:ilvl w:val="0"/>
          <w:numId w:val="4"/>
        </w:numPr>
        <w:ind w:left="994"/>
        <w:rPr>
          <w:rFonts w:cstheme="minorHAnsi"/>
          <w:b/>
          <w:bCs/>
        </w:rPr>
      </w:pPr>
      <w:r w:rsidRPr="00B90F0A">
        <w:rPr>
          <w:rFonts w:cstheme="minorHAnsi"/>
          <w:b/>
          <w:bCs/>
        </w:rPr>
        <w:t xml:space="preserve">[Required Update </w:t>
      </w:r>
      <w:r w:rsidR="00694010">
        <w:rPr>
          <w:rFonts w:cstheme="minorHAnsi"/>
          <w:b/>
          <w:bCs/>
        </w:rPr>
        <w:t>7</w:t>
      </w:r>
      <w:r w:rsidRPr="00B90F0A">
        <w:rPr>
          <w:rFonts w:cstheme="minorHAnsi"/>
          <w:b/>
          <w:bCs/>
        </w:rPr>
        <w:t xml:space="preserve">]: </w:t>
      </w:r>
      <w:r w:rsidRPr="00B90F0A">
        <w:rPr>
          <w:rFonts w:cstheme="minorHAnsi"/>
        </w:rPr>
        <w:t xml:space="preserve">Verbiage be added to current agreements verifying which party is responsible for creation of Reversal Files and Entries, </w:t>
      </w:r>
      <w:r w:rsidR="00976479" w:rsidRPr="00B90F0A">
        <w:rPr>
          <w:rFonts w:cstheme="minorHAnsi"/>
        </w:rPr>
        <w:t>noted in</w:t>
      </w:r>
      <w:r w:rsidRPr="00B90F0A">
        <w:rPr>
          <w:rFonts w:cstheme="minorHAnsi"/>
        </w:rPr>
        <w:t xml:space="preserve"> Article Two, Section </w:t>
      </w:r>
      <w:r w:rsidR="00A2293B" w:rsidRPr="00B90F0A">
        <w:rPr>
          <w:rFonts w:cstheme="minorHAnsi"/>
        </w:rPr>
        <w:t>2.9, Reversing Files</w:t>
      </w:r>
      <w:r w:rsidRPr="00B90F0A">
        <w:rPr>
          <w:rFonts w:cstheme="minorHAnsi"/>
        </w:rPr>
        <w:t xml:space="preserve">. </w:t>
      </w:r>
    </w:p>
    <w:p w14:paraId="21585D08" w14:textId="77777777" w:rsidR="00510677" w:rsidRPr="00B90F0A" w:rsidRDefault="00510677" w:rsidP="002C6497">
      <w:pPr>
        <w:pStyle w:val="NoSpacing"/>
        <w:ind w:left="634"/>
        <w:rPr>
          <w:rFonts w:cstheme="minorHAnsi"/>
        </w:rPr>
      </w:pPr>
    </w:p>
    <w:p w14:paraId="75E2996E" w14:textId="77777777" w:rsidR="00A2293B" w:rsidRDefault="00A2293B" w:rsidP="002C6497">
      <w:pPr>
        <w:pStyle w:val="NoSpacing"/>
        <w:ind w:left="634"/>
        <w:rPr>
          <w:rFonts w:cstheme="minorHAnsi"/>
        </w:rPr>
      </w:pPr>
    </w:p>
    <w:p w14:paraId="0D3101FD" w14:textId="77777777" w:rsidR="00852E57" w:rsidRDefault="00852E57" w:rsidP="002C6497">
      <w:pPr>
        <w:pStyle w:val="NoSpacing"/>
        <w:ind w:left="634"/>
        <w:rPr>
          <w:rFonts w:cstheme="minorHAnsi"/>
        </w:rPr>
      </w:pPr>
    </w:p>
    <w:p w14:paraId="4A6A9DF6" w14:textId="77777777" w:rsidR="00852E57" w:rsidRDefault="00852E57" w:rsidP="002C6497">
      <w:pPr>
        <w:pStyle w:val="NoSpacing"/>
        <w:ind w:left="634"/>
        <w:rPr>
          <w:rFonts w:cstheme="minorHAnsi"/>
        </w:rPr>
      </w:pPr>
    </w:p>
    <w:p w14:paraId="23EC82EE" w14:textId="77777777" w:rsidR="00852E57" w:rsidRDefault="00852E57" w:rsidP="002C6497">
      <w:pPr>
        <w:pStyle w:val="NoSpacing"/>
        <w:ind w:left="634"/>
        <w:rPr>
          <w:rFonts w:cstheme="minorHAnsi"/>
        </w:rPr>
      </w:pPr>
    </w:p>
    <w:p w14:paraId="78312460" w14:textId="77777777" w:rsidR="00852E57" w:rsidRDefault="00852E57" w:rsidP="002C6497">
      <w:pPr>
        <w:pStyle w:val="NoSpacing"/>
        <w:ind w:left="634"/>
        <w:rPr>
          <w:rFonts w:cstheme="minorHAnsi"/>
        </w:rPr>
      </w:pPr>
    </w:p>
    <w:p w14:paraId="0385728E" w14:textId="77777777" w:rsidR="00852E57" w:rsidRDefault="00852E57" w:rsidP="002C6497">
      <w:pPr>
        <w:pStyle w:val="NoSpacing"/>
        <w:ind w:left="634"/>
        <w:rPr>
          <w:rFonts w:cstheme="minorHAnsi"/>
        </w:rPr>
      </w:pPr>
    </w:p>
    <w:p w14:paraId="59A53C75" w14:textId="77777777" w:rsidR="00852E57" w:rsidRDefault="00852E57" w:rsidP="002C6497">
      <w:pPr>
        <w:pStyle w:val="NoSpacing"/>
        <w:ind w:left="634"/>
        <w:rPr>
          <w:rFonts w:cstheme="minorHAnsi"/>
        </w:rPr>
      </w:pPr>
    </w:p>
    <w:p w14:paraId="1BB4D7C6" w14:textId="77777777" w:rsidR="00852E57" w:rsidRDefault="00852E57" w:rsidP="002C6497">
      <w:pPr>
        <w:pStyle w:val="NoSpacing"/>
        <w:ind w:left="634"/>
        <w:rPr>
          <w:rFonts w:cstheme="minorHAnsi"/>
        </w:rPr>
      </w:pPr>
    </w:p>
    <w:p w14:paraId="70DF931D" w14:textId="77777777" w:rsidR="00852E57" w:rsidRDefault="00852E57" w:rsidP="002C6497">
      <w:pPr>
        <w:pStyle w:val="NoSpacing"/>
        <w:ind w:left="634"/>
        <w:rPr>
          <w:rFonts w:cstheme="minorHAnsi"/>
        </w:rPr>
      </w:pPr>
    </w:p>
    <w:p w14:paraId="5E0239B7" w14:textId="77777777" w:rsidR="00852E57" w:rsidRDefault="00852E57" w:rsidP="002C6497">
      <w:pPr>
        <w:pStyle w:val="NoSpacing"/>
        <w:ind w:left="634"/>
        <w:rPr>
          <w:rFonts w:cstheme="minorHAnsi"/>
        </w:rPr>
      </w:pPr>
    </w:p>
    <w:p w14:paraId="70CF497B" w14:textId="77777777" w:rsidR="00852E57" w:rsidRDefault="00852E57" w:rsidP="002C6497">
      <w:pPr>
        <w:pStyle w:val="NoSpacing"/>
        <w:ind w:left="634"/>
        <w:rPr>
          <w:rFonts w:cstheme="minorHAnsi"/>
        </w:rPr>
      </w:pPr>
    </w:p>
    <w:p w14:paraId="304017E9" w14:textId="77777777" w:rsidR="00852E57" w:rsidRDefault="00852E57" w:rsidP="002C6497">
      <w:pPr>
        <w:pStyle w:val="NoSpacing"/>
        <w:ind w:left="634"/>
        <w:rPr>
          <w:rFonts w:cstheme="minorHAnsi"/>
        </w:rPr>
      </w:pPr>
    </w:p>
    <w:p w14:paraId="6A697D0F" w14:textId="77777777" w:rsidR="00852E57" w:rsidRDefault="00852E57" w:rsidP="002C6497">
      <w:pPr>
        <w:pStyle w:val="NoSpacing"/>
        <w:ind w:left="634"/>
        <w:rPr>
          <w:rFonts w:cstheme="minorHAnsi"/>
        </w:rPr>
      </w:pPr>
    </w:p>
    <w:p w14:paraId="620C5886" w14:textId="77777777" w:rsidR="00852E57" w:rsidRDefault="00852E57" w:rsidP="002C6497">
      <w:pPr>
        <w:pStyle w:val="NoSpacing"/>
        <w:ind w:left="634"/>
        <w:rPr>
          <w:rFonts w:cstheme="minorHAnsi"/>
        </w:rPr>
      </w:pPr>
    </w:p>
    <w:p w14:paraId="1A8748D1" w14:textId="77777777" w:rsidR="00852E57" w:rsidRDefault="00852E57" w:rsidP="002C6497">
      <w:pPr>
        <w:pStyle w:val="NoSpacing"/>
        <w:ind w:left="634"/>
        <w:rPr>
          <w:rFonts w:cstheme="minorHAnsi"/>
        </w:rPr>
      </w:pPr>
    </w:p>
    <w:p w14:paraId="73312C4E" w14:textId="77777777" w:rsidR="00852E57" w:rsidRDefault="00852E57" w:rsidP="002C6497">
      <w:pPr>
        <w:pStyle w:val="NoSpacing"/>
        <w:ind w:left="634"/>
        <w:rPr>
          <w:rFonts w:cstheme="minorHAnsi"/>
        </w:rPr>
      </w:pPr>
    </w:p>
    <w:p w14:paraId="30177E78" w14:textId="77777777" w:rsidR="00852E57" w:rsidRDefault="00852E57" w:rsidP="002C6497">
      <w:pPr>
        <w:pStyle w:val="NoSpacing"/>
        <w:ind w:left="634"/>
        <w:rPr>
          <w:rFonts w:cstheme="minorHAnsi"/>
        </w:rPr>
      </w:pPr>
    </w:p>
    <w:p w14:paraId="217B9022" w14:textId="77777777" w:rsidR="00852E57" w:rsidRDefault="00852E57" w:rsidP="002C6497">
      <w:pPr>
        <w:pStyle w:val="NoSpacing"/>
        <w:ind w:left="634"/>
        <w:rPr>
          <w:rFonts w:cstheme="minorHAnsi"/>
        </w:rPr>
      </w:pPr>
    </w:p>
    <w:p w14:paraId="0AD9A602" w14:textId="77777777" w:rsidR="00852E57" w:rsidRDefault="00852E57" w:rsidP="002C6497">
      <w:pPr>
        <w:pStyle w:val="NoSpacing"/>
        <w:ind w:left="634"/>
        <w:rPr>
          <w:rFonts w:cstheme="minorHAnsi"/>
        </w:rPr>
      </w:pPr>
    </w:p>
    <w:p w14:paraId="6959286B" w14:textId="77777777" w:rsidR="00852E57" w:rsidRDefault="00852E57" w:rsidP="002C6497">
      <w:pPr>
        <w:pStyle w:val="NoSpacing"/>
        <w:ind w:left="634"/>
        <w:rPr>
          <w:rFonts w:cstheme="minorHAnsi"/>
        </w:rPr>
      </w:pPr>
    </w:p>
    <w:p w14:paraId="208C705A" w14:textId="77777777" w:rsidR="00852E57" w:rsidRDefault="00852E57" w:rsidP="002C6497">
      <w:pPr>
        <w:pStyle w:val="NoSpacing"/>
        <w:ind w:left="634"/>
        <w:rPr>
          <w:rFonts w:cstheme="minorHAnsi"/>
        </w:rPr>
      </w:pPr>
    </w:p>
    <w:p w14:paraId="24825FF5" w14:textId="77777777" w:rsidR="00852E57" w:rsidRDefault="00852E57" w:rsidP="002C6497">
      <w:pPr>
        <w:pStyle w:val="NoSpacing"/>
        <w:ind w:left="634"/>
        <w:rPr>
          <w:rFonts w:cstheme="minorHAnsi"/>
        </w:rPr>
      </w:pPr>
    </w:p>
    <w:p w14:paraId="22A97BAB" w14:textId="77777777" w:rsidR="00852E57" w:rsidRDefault="00852E57" w:rsidP="002C6497">
      <w:pPr>
        <w:pStyle w:val="NoSpacing"/>
        <w:ind w:left="634"/>
        <w:rPr>
          <w:rFonts w:cstheme="minorHAnsi"/>
        </w:rPr>
      </w:pPr>
    </w:p>
    <w:p w14:paraId="488F67B9" w14:textId="77777777" w:rsidR="00852E57" w:rsidRDefault="00852E57" w:rsidP="002C6497">
      <w:pPr>
        <w:pStyle w:val="NoSpacing"/>
        <w:ind w:left="634"/>
        <w:rPr>
          <w:rFonts w:cstheme="minorHAnsi"/>
        </w:rPr>
      </w:pPr>
    </w:p>
    <w:p w14:paraId="2E5DCE40" w14:textId="77777777" w:rsidR="00852E57" w:rsidRDefault="00852E57" w:rsidP="002C6497">
      <w:pPr>
        <w:pStyle w:val="NoSpacing"/>
        <w:ind w:left="634"/>
        <w:rPr>
          <w:rFonts w:cstheme="minorHAnsi"/>
        </w:rPr>
      </w:pPr>
    </w:p>
    <w:p w14:paraId="1EB4D1D1" w14:textId="77777777" w:rsidR="00852E57" w:rsidRDefault="00852E57" w:rsidP="002C6497">
      <w:pPr>
        <w:pStyle w:val="NoSpacing"/>
        <w:ind w:left="634"/>
        <w:rPr>
          <w:rFonts w:cstheme="minorHAnsi"/>
        </w:rPr>
      </w:pPr>
    </w:p>
    <w:p w14:paraId="11335082" w14:textId="77777777" w:rsidR="00852E57" w:rsidRDefault="00852E57" w:rsidP="002C6497">
      <w:pPr>
        <w:pStyle w:val="NoSpacing"/>
        <w:ind w:left="634"/>
        <w:rPr>
          <w:rFonts w:cstheme="minorHAnsi"/>
        </w:rPr>
      </w:pPr>
    </w:p>
    <w:p w14:paraId="51E65B77" w14:textId="77777777" w:rsidR="00852E57" w:rsidRDefault="00852E57" w:rsidP="002C6497">
      <w:pPr>
        <w:pStyle w:val="NoSpacing"/>
        <w:ind w:left="634"/>
        <w:rPr>
          <w:rFonts w:cstheme="minorHAnsi"/>
        </w:rPr>
      </w:pPr>
    </w:p>
    <w:p w14:paraId="478646D9" w14:textId="77777777" w:rsidR="00852E57" w:rsidRDefault="00852E57" w:rsidP="002C6497">
      <w:pPr>
        <w:pStyle w:val="NoSpacing"/>
        <w:ind w:left="634"/>
        <w:rPr>
          <w:rFonts w:cstheme="minorHAnsi"/>
        </w:rPr>
      </w:pPr>
    </w:p>
    <w:p w14:paraId="3BD02739" w14:textId="77777777" w:rsidR="00852E57" w:rsidRDefault="00852E57" w:rsidP="002C6497">
      <w:pPr>
        <w:pStyle w:val="NoSpacing"/>
        <w:ind w:left="634"/>
        <w:rPr>
          <w:rFonts w:cstheme="minorHAnsi"/>
        </w:rPr>
      </w:pPr>
    </w:p>
    <w:p w14:paraId="5C62EF3C" w14:textId="77777777" w:rsidR="00852E57" w:rsidRPr="00B90F0A" w:rsidRDefault="00852E57" w:rsidP="002C6497">
      <w:pPr>
        <w:pStyle w:val="NoSpacing"/>
        <w:ind w:left="634"/>
        <w:rPr>
          <w:rFonts w:cstheme="minorHAnsi"/>
        </w:rPr>
      </w:pPr>
    </w:p>
    <w:p w14:paraId="54A3D746" w14:textId="77777777" w:rsidR="00BA4526" w:rsidRPr="00B90F0A" w:rsidRDefault="00BA4526" w:rsidP="002C6497">
      <w:pPr>
        <w:pStyle w:val="NoSpacing"/>
        <w:ind w:left="634"/>
        <w:rPr>
          <w:rFonts w:cstheme="minorHAnsi"/>
        </w:rPr>
      </w:pPr>
    </w:p>
    <w:p w14:paraId="4016300B" w14:textId="3DACC989" w:rsidR="00893A13" w:rsidRPr="00B90F0A" w:rsidRDefault="00510677" w:rsidP="002C6497">
      <w:pPr>
        <w:pStyle w:val="NoSpacing"/>
        <w:ind w:left="634"/>
        <w:rPr>
          <w:rFonts w:cstheme="minorHAnsi"/>
        </w:rPr>
      </w:pPr>
      <w:r w:rsidRPr="00B90F0A">
        <w:rPr>
          <w:rFonts w:cstheme="minorHAnsi"/>
          <w:noProof/>
        </w:rPr>
        <mc:AlternateContent>
          <mc:Choice Requires="wps">
            <w:drawing>
              <wp:anchor distT="0" distB="0" distL="114300" distR="114300" simplePos="0" relativeHeight="251660288" behindDoc="0" locked="0" layoutInCell="1" allowOverlap="1" wp14:anchorId="28BC70F3" wp14:editId="0597E81B">
                <wp:simplePos x="0" y="0"/>
                <wp:positionH relativeFrom="column">
                  <wp:posOffset>217653</wp:posOffset>
                </wp:positionH>
                <wp:positionV relativeFrom="paragraph">
                  <wp:posOffset>155790</wp:posOffset>
                </wp:positionV>
                <wp:extent cx="6426558" cy="258793"/>
                <wp:effectExtent l="0" t="0" r="12700" b="27305"/>
                <wp:wrapNone/>
                <wp:docPr id="758365701" name="Text Box 3"/>
                <wp:cNvGraphicFramePr/>
                <a:graphic xmlns:a="http://schemas.openxmlformats.org/drawingml/2006/main">
                  <a:graphicData uri="http://schemas.microsoft.com/office/word/2010/wordprocessingShape">
                    <wps:wsp>
                      <wps:cNvSpPr txBox="1"/>
                      <wps:spPr>
                        <a:xfrm>
                          <a:off x="0" y="0"/>
                          <a:ext cx="6426558" cy="258793"/>
                        </a:xfrm>
                        <a:prstGeom prst="rect">
                          <a:avLst/>
                        </a:prstGeom>
                        <a:solidFill>
                          <a:srgbClr val="92D050"/>
                        </a:solidFill>
                        <a:ln w="6350">
                          <a:solidFill>
                            <a:prstClr val="black"/>
                          </a:solidFill>
                        </a:ln>
                      </wps:spPr>
                      <wps:txbx>
                        <w:txbxContent>
                          <w:p w14:paraId="75DB5E44" w14:textId="3909233E" w:rsidR="00510677" w:rsidRDefault="00510677" w:rsidP="00510677">
                            <w:pPr>
                              <w:jc w:val="center"/>
                            </w:pPr>
                            <w:r>
                              <w:t>Recommended Updates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BC70F3" id="Text Box 3" o:spid="_x0000_s1027" type="#_x0000_t202" style="position:absolute;left:0;text-align:left;margin-left:17.15pt;margin-top:12.25pt;width:506.05pt;height:2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" fillcolor="#92d050" strokeweight=".5pt">
                <v:textbox>
                  <w:txbxContent>
                    <w:p w14:paraId="75DB5E44" w14:textId="3909233E" w:rsidR="00510677" w:rsidRDefault="00510677" w:rsidP="00510677">
                      <w:pPr>
                        <w:jc w:val="center"/>
                      </w:pPr>
                      <w:r>
                        <w:t>Recommended Updates</w:t>
                      </w:r>
                    </w:p>
                  </w:txbxContent>
                </v:textbox>
              </v:shape>
            </w:pict>
          </mc:Fallback>
        </mc:AlternateContent>
      </w:r>
    </w:p>
    <w:p w14:paraId="2E3DF2D5" w14:textId="3E7560ED" w:rsidR="00893A13" w:rsidRPr="00B90F0A" w:rsidRDefault="00893A13" w:rsidP="002C6497">
      <w:pPr>
        <w:pStyle w:val="NoSpacing"/>
        <w:ind w:left="634"/>
        <w:rPr>
          <w:rFonts w:cstheme="minorHAnsi"/>
        </w:rPr>
      </w:pPr>
    </w:p>
    <w:p w14:paraId="5DD304B5" w14:textId="77777777" w:rsidR="00510677" w:rsidRPr="00B90F0A" w:rsidRDefault="00510677" w:rsidP="002C6497">
      <w:pPr>
        <w:pStyle w:val="NoSpacing"/>
        <w:ind w:left="634"/>
        <w:rPr>
          <w:rFonts w:cstheme="minorHAnsi"/>
        </w:rPr>
      </w:pPr>
    </w:p>
    <w:p w14:paraId="14F8DA88" w14:textId="77777777" w:rsidR="00423DDB" w:rsidRPr="00B90F0A" w:rsidRDefault="00423DDB" w:rsidP="002C6497">
      <w:pPr>
        <w:pStyle w:val="NoSpacing"/>
        <w:ind w:left="634"/>
        <w:rPr>
          <w:rFonts w:cstheme="minorHAnsi"/>
        </w:rPr>
      </w:pPr>
    </w:p>
    <w:p w14:paraId="4A3C71E4" w14:textId="01770D7C" w:rsidR="00D96CA6" w:rsidRPr="00B90F0A" w:rsidRDefault="00D96CA6" w:rsidP="0098747A">
      <w:pPr>
        <w:pStyle w:val="NoSpacing"/>
        <w:numPr>
          <w:ilvl w:val="0"/>
          <w:numId w:val="4"/>
        </w:numPr>
        <w:ind w:left="994"/>
        <w:rPr>
          <w:rFonts w:cstheme="minorHAnsi"/>
          <w:b/>
          <w:bCs/>
        </w:rPr>
      </w:pPr>
      <w:r w:rsidRPr="00B90F0A">
        <w:rPr>
          <w:rFonts w:cstheme="minorHAnsi"/>
          <w:b/>
          <w:bCs/>
        </w:rPr>
        <w:t>[Discovery</w:t>
      </w:r>
      <w:r w:rsidR="007F52A9" w:rsidRPr="00B90F0A">
        <w:rPr>
          <w:rFonts w:cstheme="minorHAnsi"/>
          <w:b/>
          <w:bCs/>
        </w:rPr>
        <w:t xml:space="preserve"> </w:t>
      </w:r>
      <w:r w:rsidR="00694010">
        <w:rPr>
          <w:rFonts w:cstheme="minorHAnsi"/>
          <w:b/>
          <w:bCs/>
        </w:rPr>
        <w:t>8</w:t>
      </w:r>
      <w:r w:rsidRPr="00B90F0A">
        <w:rPr>
          <w:rFonts w:cstheme="minorHAnsi"/>
          <w:b/>
          <w:bCs/>
        </w:rPr>
        <w:t>]:</w:t>
      </w:r>
      <w:r w:rsidRPr="00B90F0A">
        <w:rPr>
          <w:rFonts w:cstheme="minorHAnsi"/>
        </w:rPr>
        <w:t xml:space="preserve"> The number of Originators and what type (s) of Standard Entry Class (SEC) codes are approved for origination questions were not completed</w:t>
      </w:r>
      <w:r w:rsidR="00933823" w:rsidRPr="00B90F0A">
        <w:rPr>
          <w:rFonts w:cstheme="minorHAnsi"/>
        </w:rPr>
        <w:t>, l</w:t>
      </w:r>
      <w:r w:rsidRPr="00B90F0A">
        <w:rPr>
          <w:rFonts w:cstheme="minorHAnsi"/>
        </w:rPr>
        <w:t xml:space="preserve">acking confirmation of how many originators Bradley Company services and what SEC codes are used. </w:t>
      </w:r>
    </w:p>
    <w:p w14:paraId="427CEE53" w14:textId="77777777" w:rsidR="002C6497" w:rsidRPr="00B90F0A" w:rsidRDefault="002C6497" w:rsidP="002C6497">
      <w:pPr>
        <w:pStyle w:val="NoSpacing"/>
        <w:ind w:left="634"/>
        <w:rPr>
          <w:rFonts w:cstheme="minorHAnsi"/>
          <w:b/>
          <w:bCs/>
        </w:rPr>
      </w:pPr>
    </w:p>
    <w:p w14:paraId="49C6C1B6" w14:textId="65857889" w:rsidR="00D96CA6" w:rsidRPr="00B90F0A" w:rsidRDefault="00D96CA6" w:rsidP="0098747A">
      <w:pPr>
        <w:pStyle w:val="NoSpacing"/>
        <w:numPr>
          <w:ilvl w:val="0"/>
          <w:numId w:val="4"/>
        </w:numPr>
        <w:ind w:left="994"/>
        <w:rPr>
          <w:rFonts w:cstheme="minorHAnsi"/>
          <w:b/>
          <w:bCs/>
        </w:rPr>
      </w:pPr>
      <w:r w:rsidRPr="00B90F0A">
        <w:rPr>
          <w:rFonts w:cstheme="minorHAnsi"/>
          <w:b/>
          <w:bCs/>
        </w:rPr>
        <w:t>[Recomm</w:t>
      </w:r>
      <w:r w:rsidR="0033631E" w:rsidRPr="00B90F0A">
        <w:rPr>
          <w:rFonts w:cstheme="minorHAnsi"/>
          <w:b/>
          <w:bCs/>
        </w:rPr>
        <w:t>endation</w:t>
      </w:r>
      <w:r w:rsidR="007F52A9" w:rsidRPr="00B90F0A">
        <w:rPr>
          <w:rFonts w:cstheme="minorHAnsi"/>
          <w:b/>
          <w:bCs/>
        </w:rPr>
        <w:t xml:space="preserve"> </w:t>
      </w:r>
      <w:r w:rsidR="00694010">
        <w:rPr>
          <w:rFonts w:cstheme="minorHAnsi"/>
          <w:b/>
          <w:bCs/>
        </w:rPr>
        <w:t>8</w:t>
      </w:r>
      <w:r w:rsidRPr="00B90F0A">
        <w:rPr>
          <w:rFonts w:cstheme="minorHAnsi"/>
          <w:b/>
          <w:bCs/>
        </w:rPr>
        <w:t>]:</w:t>
      </w:r>
      <w:r w:rsidRPr="00B90F0A">
        <w:rPr>
          <w:rFonts w:cstheme="minorHAnsi"/>
        </w:rPr>
        <w:t xml:space="preserve"> Bradley Company </w:t>
      </w:r>
      <w:r w:rsidR="00933823" w:rsidRPr="00B90F0A">
        <w:rPr>
          <w:rFonts w:cstheme="minorHAnsi"/>
        </w:rPr>
        <w:t xml:space="preserve">LLC </w:t>
      </w:r>
      <w:r w:rsidRPr="00B90F0A">
        <w:rPr>
          <w:rFonts w:cstheme="minorHAnsi"/>
        </w:rPr>
        <w:t xml:space="preserve">verify how many Originators they currently have and what Standard Entry Class (SEC) are being used. </w:t>
      </w:r>
    </w:p>
    <w:p w14:paraId="775366A8" w14:textId="77777777" w:rsidR="002C6497" w:rsidRPr="00B90F0A" w:rsidRDefault="002C6497" w:rsidP="002C6497">
      <w:pPr>
        <w:pStyle w:val="NoSpacing"/>
        <w:ind w:left="634"/>
        <w:rPr>
          <w:rFonts w:cstheme="minorHAnsi"/>
        </w:rPr>
      </w:pPr>
    </w:p>
    <w:p w14:paraId="2C069944" w14:textId="6A6D14EF" w:rsidR="008C7E83" w:rsidRPr="00B90F0A" w:rsidRDefault="008C7E83" w:rsidP="0098747A">
      <w:pPr>
        <w:pStyle w:val="NoSpacing"/>
        <w:numPr>
          <w:ilvl w:val="0"/>
          <w:numId w:val="4"/>
        </w:numPr>
        <w:ind w:left="994"/>
        <w:rPr>
          <w:rFonts w:cstheme="minorHAnsi"/>
        </w:rPr>
      </w:pPr>
      <w:r w:rsidRPr="00B90F0A">
        <w:rPr>
          <w:rFonts w:cstheme="minorHAnsi"/>
          <w:b/>
          <w:bCs/>
        </w:rPr>
        <w:t>[Discovery</w:t>
      </w:r>
      <w:r w:rsidR="003B7532" w:rsidRPr="00B90F0A">
        <w:rPr>
          <w:rFonts w:cstheme="minorHAnsi"/>
          <w:b/>
          <w:bCs/>
        </w:rPr>
        <w:t xml:space="preserve"> </w:t>
      </w:r>
      <w:r w:rsidR="00694010">
        <w:rPr>
          <w:rFonts w:cstheme="minorHAnsi"/>
          <w:b/>
          <w:bCs/>
        </w:rPr>
        <w:t>9</w:t>
      </w:r>
      <w:r w:rsidRPr="00B90F0A">
        <w:rPr>
          <w:rFonts w:cstheme="minorHAnsi"/>
          <w:b/>
          <w:bCs/>
        </w:rPr>
        <w:t>]:</w:t>
      </w:r>
      <w:r w:rsidRPr="00B90F0A">
        <w:rPr>
          <w:rFonts w:cstheme="minorHAnsi"/>
        </w:rPr>
        <w:t xml:space="preserve"> ACH related policies are not being reviewed on a consistent basis. </w:t>
      </w:r>
    </w:p>
    <w:p w14:paraId="7B9FAA41" w14:textId="77777777" w:rsidR="002C6497" w:rsidRPr="00B90F0A" w:rsidRDefault="002C6497" w:rsidP="002C6497">
      <w:pPr>
        <w:pStyle w:val="NoSpacing"/>
        <w:ind w:left="634"/>
        <w:rPr>
          <w:rFonts w:cstheme="minorHAnsi"/>
        </w:rPr>
      </w:pPr>
    </w:p>
    <w:p w14:paraId="4802EE0F" w14:textId="53B40036" w:rsidR="002067BE" w:rsidRPr="00B90F0A" w:rsidRDefault="008C7E83" w:rsidP="0098747A">
      <w:pPr>
        <w:pStyle w:val="NoSpacing"/>
        <w:numPr>
          <w:ilvl w:val="0"/>
          <w:numId w:val="4"/>
        </w:numPr>
        <w:ind w:left="994"/>
        <w:rPr>
          <w:rFonts w:cstheme="minorHAnsi"/>
        </w:rPr>
      </w:pPr>
      <w:r w:rsidRPr="00B90F0A">
        <w:rPr>
          <w:rFonts w:cstheme="minorHAnsi"/>
          <w:b/>
          <w:bCs/>
        </w:rPr>
        <w:t>[Recomme</w:t>
      </w:r>
      <w:r w:rsidR="0033631E" w:rsidRPr="00B90F0A">
        <w:rPr>
          <w:rFonts w:cstheme="minorHAnsi"/>
          <w:b/>
          <w:bCs/>
        </w:rPr>
        <w:t>ndation</w:t>
      </w:r>
      <w:r w:rsidR="003B7532" w:rsidRPr="00B90F0A">
        <w:rPr>
          <w:rFonts w:cstheme="minorHAnsi"/>
          <w:b/>
          <w:bCs/>
        </w:rPr>
        <w:t xml:space="preserve"> </w:t>
      </w:r>
      <w:r w:rsidR="00694010">
        <w:rPr>
          <w:rFonts w:cstheme="minorHAnsi"/>
          <w:b/>
          <w:bCs/>
        </w:rPr>
        <w:t>9</w:t>
      </w:r>
      <w:r w:rsidRPr="00B90F0A">
        <w:rPr>
          <w:rFonts w:cstheme="minorHAnsi"/>
          <w:b/>
          <w:bCs/>
        </w:rPr>
        <w:t>]:</w:t>
      </w:r>
      <w:r w:rsidRPr="00B90F0A">
        <w:rPr>
          <w:rFonts w:cstheme="minorHAnsi"/>
        </w:rPr>
        <w:t xml:space="preserve"> </w:t>
      </w:r>
      <w:r w:rsidR="00FE79AF" w:rsidRPr="00B90F0A">
        <w:rPr>
          <w:rFonts w:cstheme="minorHAnsi"/>
        </w:rPr>
        <w:t>Procedures be written requiring ACH related policies be reviewed on a</w:t>
      </w:r>
      <w:r w:rsidR="00C4614D" w:rsidRPr="00B90F0A">
        <w:rPr>
          <w:rFonts w:cstheme="minorHAnsi"/>
        </w:rPr>
        <w:t>n</w:t>
      </w:r>
      <w:r w:rsidR="00FE79AF" w:rsidRPr="00B90F0A">
        <w:rPr>
          <w:rFonts w:cstheme="minorHAnsi"/>
        </w:rPr>
        <w:t xml:space="preserve"> annual basis</w:t>
      </w:r>
      <w:r w:rsidR="00772D93" w:rsidRPr="00B90F0A">
        <w:rPr>
          <w:rFonts w:cstheme="minorHAnsi"/>
        </w:rPr>
        <w:t xml:space="preserve">. </w:t>
      </w:r>
    </w:p>
    <w:p w14:paraId="697401C3" w14:textId="77777777" w:rsidR="00EF2D36" w:rsidRPr="00B90F0A" w:rsidRDefault="00EF2D36" w:rsidP="002C6497">
      <w:pPr>
        <w:pStyle w:val="NoSpacing"/>
        <w:ind w:left="634"/>
        <w:rPr>
          <w:rFonts w:cstheme="minorHAnsi"/>
        </w:rPr>
      </w:pPr>
    </w:p>
    <w:p w14:paraId="23748444" w14:textId="48E33807" w:rsidR="002067BE" w:rsidRPr="00B90F0A" w:rsidRDefault="002067BE" w:rsidP="0098747A">
      <w:pPr>
        <w:pStyle w:val="NoSpacing"/>
        <w:numPr>
          <w:ilvl w:val="0"/>
          <w:numId w:val="4"/>
        </w:numPr>
        <w:ind w:left="994"/>
        <w:rPr>
          <w:rFonts w:cstheme="minorHAnsi"/>
        </w:rPr>
      </w:pPr>
      <w:r w:rsidRPr="00B90F0A">
        <w:rPr>
          <w:rFonts w:cstheme="minorHAnsi"/>
          <w:b/>
          <w:bCs/>
        </w:rPr>
        <w:t>[Discovery</w:t>
      </w:r>
      <w:r w:rsidR="003B7532" w:rsidRPr="00B90F0A">
        <w:rPr>
          <w:rFonts w:cstheme="minorHAnsi"/>
          <w:b/>
          <w:bCs/>
        </w:rPr>
        <w:t xml:space="preserve"> </w:t>
      </w:r>
      <w:r w:rsidR="00694010">
        <w:rPr>
          <w:rFonts w:cstheme="minorHAnsi"/>
          <w:b/>
          <w:bCs/>
        </w:rPr>
        <w:t>10</w:t>
      </w:r>
      <w:r w:rsidRPr="00B90F0A">
        <w:rPr>
          <w:rFonts w:cstheme="minorHAnsi"/>
          <w:b/>
          <w:bCs/>
        </w:rPr>
        <w:t>]:</w:t>
      </w:r>
      <w:r w:rsidRPr="00B90F0A">
        <w:rPr>
          <w:rFonts w:cstheme="minorHAnsi"/>
        </w:rPr>
        <w:t xml:space="preserve"> Currently Bradley Company </w:t>
      </w:r>
      <w:r w:rsidR="00EF2D36" w:rsidRPr="00B90F0A">
        <w:rPr>
          <w:rFonts w:cstheme="minorHAnsi"/>
        </w:rPr>
        <w:t xml:space="preserve">LLC </w:t>
      </w:r>
      <w:r w:rsidRPr="00B90F0A">
        <w:rPr>
          <w:rFonts w:cstheme="minorHAnsi"/>
        </w:rPr>
        <w:t xml:space="preserve">does not monitor outgoing data for proper use of SEC codes. </w:t>
      </w:r>
    </w:p>
    <w:p w14:paraId="165BC921" w14:textId="77777777" w:rsidR="002C6497" w:rsidRPr="00B90F0A" w:rsidRDefault="002C6497" w:rsidP="002C6497">
      <w:pPr>
        <w:pStyle w:val="NoSpacing"/>
        <w:ind w:left="634"/>
        <w:rPr>
          <w:rFonts w:cstheme="minorHAnsi"/>
        </w:rPr>
      </w:pPr>
    </w:p>
    <w:p w14:paraId="56FA395C" w14:textId="402D4528" w:rsidR="002067BE" w:rsidRPr="00B90F0A" w:rsidRDefault="002067BE" w:rsidP="0098747A">
      <w:pPr>
        <w:pStyle w:val="NoSpacing"/>
        <w:numPr>
          <w:ilvl w:val="0"/>
          <w:numId w:val="4"/>
        </w:numPr>
        <w:ind w:left="994"/>
        <w:rPr>
          <w:rFonts w:cstheme="minorHAnsi"/>
        </w:rPr>
      </w:pPr>
      <w:r w:rsidRPr="00B90F0A">
        <w:rPr>
          <w:rFonts w:cstheme="minorHAnsi"/>
          <w:b/>
          <w:bCs/>
        </w:rPr>
        <w:t>[Recomme</w:t>
      </w:r>
      <w:r w:rsidR="0033631E" w:rsidRPr="00B90F0A">
        <w:rPr>
          <w:rFonts w:cstheme="minorHAnsi"/>
          <w:b/>
          <w:bCs/>
        </w:rPr>
        <w:t>ndation</w:t>
      </w:r>
      <w:r w:rsidR="003B7532" w:rsidRPr="00B90F0A">
        <w:rPr>
          <w:rFonts w:cstheme="minorHAnsi"/>
          <w:b/>
          <w:bCs/>
        </w:rPr>
        <w:t xml:space="preserve"> </w:t>
      </w:r>
      <w:r w:rsidR="00694010">
        <w:rPr>
          <w:rFonts w:cstheme="minorHAnsi"/>
          <w:b/>
          <w:bCs/>
        </w:rPr>
        <w:t>10</w:t>
      </w:r>
      <w:r w:rsidRPr="00B90F0A">
        <w:rPr>
          <w:rFonts w:cstheme="minorHAnsi"/>
          <w:b/>
          <w:bCs/>
        </w:rPr>
        <w:t>]:</w:t>
      </w:r>
      <w:r w:rsidRPr="00B90F0A">
        <w:rPr>
          <w:rFonts w:cstheme="minorHAnsi"/>
        </w:rPr>
        <w:t xml:space="preserve"> Create procedures to monitor SEC codes. Bradley Company </w:t>
      </w:r>
      <w:r w:rsidR="004C33B0" w:rsidRPr="00B90F0A">
        <w:rPr>
          <w:rFonts w:cstheme="minorHAnsi"/>
        </w:rPr>
        <w:t xml:space="preserve">LLC </w:t>
      </w:r>
      <w:r w:rsidRPr="00B90F0A">
        <w:rPr>
          <w:rFonts w:cstheme="minorHAnsi"/>
        </w:rPr>
        <w:t xml:space="preserve">should monitor outgoing data for the proper SEC codes as a broader risk management and compliance </w:t>
      </w:r>
      <w:r w:rsidR="00494142" w:rsidRPr="00B90F0A">
        <w:rPr>
          <w:rFonts w:cstheme="minorHAnsi"/>
        </w:rPr>
        <w:t>practice</w:t>
      </w:r>
      <w:r w:rsidRPr="00B90F0A">
        <w:rPr>
          <w:rFonts w:cstheme="minorHAnsi"/>
        </w:rPr>
        <w:t xml:space="preserve">. </w:t>
      </w:r>
    </w:p>
    <w:p w14:paraId="7FE1E278" w14:textId="77777777" w:rsidR="00D47654" w:rsidRPr="00B90F0A" w:rsidRDefault="00D47654" w:rsidP="002C6497">
      <w:pPr>
        <w:pStyle w:val="NoSpacing"/>
        <w:ind w:left="634"/>
        <w:rPr>
          <w:rFonts w:cstheme="minorHAnsi"/>
        </w:rPr>
      </w:pPr>
    </w:p>
    <w:sectPr w:rsidR="00D47654" w:rsidRPr="00B90F0A" w:rsidSect="00893A13">
      <w:headerReference w:type="default" r:id="rId11"/>
      <w:headerReference w:type="first" r:id="rId12"/>
      <w:pgSz w:w="12240" w:h="15840"/>
      <w:pgMar w:top="1440" w:right="1440" w:bottom="1440" w:left="864"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F8C3" w14:textId="77777777" w:rsidR="00EE1A72" w:rsidRDefault="00EE1A72" w:rsidP="003323CB">
      <w:pPr>
        <w:spacing w:after="0" w:line="240" w:lineRule="auto"/>
      </w:pPr>
      <w:r>
        <w:separator/>
      </w:r>
    </w:p>
  </w:endnote>
  <w:endnote w:type="continuationSeparator" w:id="0">
    <w:p w14:paraId="52731740" w14:textId="77777777" w:rsidR="00EE1A72" w:rsidRDefault="00EE1A72" w:rsidP="0033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5621" w14:textId="77777777" w:rsidR="00EE1A72" w:rsidRDefault="00EE1A72" w:rsidP="003323CB">
      <w:pPr>
        <w:spacing w:after="0" w:line="240" w:lineRule="auto"/>
      </w:pPr>
      <w:r>
        <w:separator/>
      </w:r>
    </w:p>
  </w:footnote>
  <w:footnote w:type="continuationSeparator" w:id="0">
    <w:p w14:paraId="3F083E25" w14:textId="77777777" w:rsidR="00EE1A72" w:rsidRDefault="00EE1A72" w:rsidP="00332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B3DC" w14:textId="77777777" w:rsidR="003323CB" w:rsidRDefault="00893A13" w:rsidP="00893A13">
    <w:pPr>
      <w:pStyle w:val="Header"/>
      <w:tabs>
        <w:tab w:val="left" w:pos="630"/>
        <w:tab w:val="left" w:pos="2160"/>
      </w:tabs>
      <w:jc w:val="right"/>
    </w:pPr>
    <w:r>
      <w:t xml:space="preserve">Page </w:t>
    </w:r>
    <w:r>
      <w:fldChar w:fldCharType="begin"/>
    </w:r>
    <w:r>
      <w:instrText xml:space="preserve"> PAGE  \* Arabic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01E1" w14:textId="77777777" w:rsidR="00696B7A" w:rsidRDefault="00893A13">
    <w:pPr>
      <w:pStyle w:val="Header"/>
    </w:pPr>
    <w:r>
      <w:rPr>
        <w:noProof/>
      </w:rPr>
      <w:drawing>
        <wp:inline distT="0" distB="0" distL="0" distR="0" wp14:anchorId="6C6A5FF5" wp14:editId="47F02F6B">
          <wp:extent cx="2286005" cy="4572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5" cy="4572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4A6"/>
    <w:multiLevelType w:val="hybridMultilevel"/>
    <w:tmpl w:val="A84C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E70B8"/>
    <w:multiLevelType w:val="hybridMultilevel"/>
    <w:tmpl w:val="3898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93721"/>
    <w:multiLevelType w:val="hybridMultilevel"/>
    <w:tmpl w:val="654EFF3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EFE1E17"/>
    <w:multiLevelType w:val="hybridMultilevel"/>
    <w:tmpl w:val="43F44AFE"/>
    <w:lvl w:ilvl="0" w:tplc="04090003">
      <w:start w:val="1"/>
      <w:numFmt w:val="bullet"/>
      <w:lvlText w:val="o"/>
      <w:lvlJc w:val="left"/>
      <w:pPr>
        <w:ind w:left="2464" w:hanging="360"/>
      </w:pPr>
      <w:rPr>
        <w:rFonts w:ascii="Courier New" w:hAnsi="Courier New" w:cs="Courier New" w:hint="default"/>
      </w:rPr>
    </w:lvl>
    <w:lvl w:ilvl="1" w:tplc="04090003" w:tentative="1">
      <w:start w:val="1"/>
      <w:numFmt w:val="bullet"/>
      <w:lvlText w:val="o"/>
      <w:lvlJc w:val="left"/>
      <w:pPr>
        <w:ind w:left="3184" w:hanging="360"/>
      </w:pPr>
      <w:rPr>
        <w:rFonts w:ascii="Courier New" w:hAnsi="Courier New" w:cs="Courier New" w:hint="default"/>
      </w:rPr>
    </w:lvl>
    <w:lvl w:ilvl="2" w:tplc="04090005" w:tentative="1">
      <w:start w:val="1"/>
      <w:numFmt w:val="bullet"/>
      <w:lvlText w:val=""/>
      <w:lvlJc w:val="left"/>
      <w:pPr>
        <w:ind w:left="3904" w:hanging="360"/>
      </w:pPr>
      <w:rPr>
        <w:rFonts w:ascii="Wingdings" w:hAnsi="Wingdings" w:hint="default"/>
      </w:rPr>
    </w:lvl>
    <w:lvl w:ilvl="3" w:tplc="04090001" w:tentative="1">
      <w:start w:val="1"/>
      <w:numFmt w:val="bullet"/>
      <w:lvlText w:val=""/>
      <w:lvlJc w:val="left"/>
      <w:pPr>
        <w:ind w:left="4624" w:hanging="360"/>
      </w:pPr>
      <w:rPr>
        <w:rFonts w:ascii="Symbol" w:hAnsi="Symbol" w:hint="default"/>
      </w:rPr>
    </w:lvl>
    <w:lvl w:ilvl="4" w:tplc="04090003" w:tentative="1">
      <w:start w:val="1"/>
      <w:numFmt w:val="bullet"/>
      <w:lvlText w:val="o"/>
      <w:lvlJc w:val="left"/>
      <w:pPr>
        <w:ind w:left="5344" w:hanging="360"/>
      </w:pPr>
      <w:rPr>
        <w:rFonts w:ascii="Courier New" w:hAnsi="Courier New" w:cs="Courier New" w:hint="default"/>
      </w:rPr>
    </w:lvl>
    <w:lvl w:ilvl="5" w:tplc="04090005" w:tentative="1">
      <w:start w:val="1"/>
      <w:numFmt w:val="bullet"/>
      <w:lvlText w:val=""/>
      <w:lvlJc w:val="left"/>
      <w:pPr>
        <w:ind w:left="6064" w:hanging="360"/>
      </w:pPr>
      <w:rPr>
        <w:rFonts w:ascii="Wingdings" w:hAnsi="Wingdings" w:hint="default"/>
      </w:rPr>
    </w:lvl>
    <w:lvl w:ilvl="6" w:tplc="04090001" w:tentative="1">
      <w:start w:val="1"/>
      <w:numFmt w:val="bullet"/>
      <w:lvlText w:val=""/>
      <w:lvlJc w:val="left"/>
      <w:pPr>
        <w:ind w:left="6784" w:hanging="360"/>
      </w:pPr>
      <w:rPr>
        <w:rFonts w:ascii="Symbol" w:hAnsi="Symbol" w:hint="default"/>
      </w:rPr>
    </w:lvl>
    <w:lvl w:ilvl="7" w:tplc="04090003" w:tentative="1">
      <w:start w:val="1"/>
      <w:numFmt w:val="bullet"/>
      <w:lvlText w:val="o"/>
      <w:lvlJc w:val="left"/>
      <w:pPr>
        <w:ind w:left="7504" w:hanging="360"/>
      </w:pPr>
      <w:rPr>
        <w:rFonts w:ascii="Courier New" w:hAnsi="Courier New" w:cs="Courier New" w:hint="default"/>
      </w:rPr>
    </w:lvl>
    <w:lvl w:ilvl="8" w:tplc="04090005" w:tentative="1">
      <w:start w:val="1"/>
      <w:numFmt w:val="bullet"/>
      <w:lvlText w:val=""/>
      <w:lvlJc w:val="left"/>
      <w:pPr>
        <w:ind w:left="8224" w:hanging="360"/>
      </w:pPr>
      <w:rPr>
        <w:rFonts w:ascii="Wingdings" w:hAnsi="Wingdings" w:hint="default"/>
      </w:rPr>
    </w:lvl>
  </w:abstractNum>
  <w:abstractNum w:abstractNumId="4" w15:restartNumberingAfterBreak="0">
    <w:nsid w:val="2EB168E1"/>
    <w:multiLevelType w:val="hybridMultilevel"/>
    <w:tmpl w:val="A3C40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5C30AC"/>
    <w:multiLevelType w:val="hybridMultilevel"/>
    <w:tmpl w:val="D82A3C56"/>
    <w:lvl w:ilvl="0" w:tplc="C13CBE3E">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F3A34"/>
    <w:multiLevelType w:val="hybridMultilevel"/>
    <w:tmpl w:val="477CE2C2"/>
    <w:lvl w:ilvl="0" w:tplc="04090003">
      <w:start w:val="1"/>
      <w:numFmt w:val="bullet"/>
      <w:lvlText w:val="o"/>
      <w:lvlJc w:val="left"/>
      <w:pPr>
        <w:ind w:left="2495" w:hanging="360"/>
      </w:pPr>
      <w:rPr>
        <w:rFonts w:ascii="Courier New" w:hAnsi="Courier New" w:cs="Courier New" w:hint="default"/>
      </w:rPr>
    </w:lvl>
    <w:lvl w:ilvl="1" w:tplc="04090003" w:tentative="1">
      <w:start w:val="1"/>
      <w:numFmt w:val="bullet"/>
      <w:lvlText w:val="o"/>
      <w:lvlJc w:val="left"/>
      <w:pPr>
        <w:ind w:left="3215" w:hanging="360"/>
      </w:pPr>
      <w:rPr>
        <w:rFonts w:ascii="Courier New" w:hAnsi="Courier New" w:cs="Courier New" w:hint="default"/>
      </w:rPr>
    </w:lvl>
    <w:lvl w:ilvl="2" w:tplc="04090005" w:tentative="1">
      <w:start w:val="1"/>
      <w:numFmt w:val="bullet"/>
      <w:lvlText w:val=""/>
      <w:lvlJc w:val="left"/>
      <w:pPr>
        <w:ind w:left="3935" w:hanging="360"/>
      </w:pPr>
      <w:rPr>
        <w:rFonts w:ascii="Wingdings" w:hAnsi="Wingdings" w:hint="default"/>
      </w:rPr>
    </w:lvl>
    <w:lvl w:ilvl="3" w:tplc="04090001" w:tentative="1">
      <w:start w:val="1"/>
      <w:numFmt w:val="bullet"/>
      <w:lvlText w:val=""/>
      <w:lvlJc w:val="left"/>
      <w:pPr>
        <w:ind w:left="4655" w:hanging="360"/>
      </w:pPr>
      <w:rPr>
        <w:rFonts w:ascii="Symbol" w:hAnsi="Symbol" w:hint="default"/>
      </w:rPr>
    </w:lvl>
    <w:lvl w:ilvl="4" w:tplc="04090003" w:tentative="1">
      <w:start w:val="1"/>
      <w:numFmt w:val="bullet"/>
      <w:lvlText w:val="o"/>
      <w:lvlJc w:val="left"/>
      <w:pPr>
        <w:ind w:left="5375" w:hanging="360"/>
      </w:pPr>
      <w:rPr>
        <w:rFonts w:ascii="Courier New" w:hAnsi="Courier New" w:cs="Courier New" w:hint="default"/>
      </w:rPr>
    </w:lvl>
    <w:lvl w:ilvl="5" w:tplc="04090005" w:tentative="1">
      <w:start w:val="1"/>
      <w:numFmt w:val="bullet"/>
      <w:lvlText w:val=""/>
      <w:lvlJc w:val="left"/>
      <w:pPr>
        <w:ind w:left="6095" w:hanging="360"/>
      </w:pPr>
      <w:rPr>
        <w:rFonts w:ascii="Wingdings" w:hAnsi="Wingdings" w:hint="default"/>
      </w:rPr>
    </w:lvl>
    <w:lvl w:ilvl="6" w:tplc="04090001" w:tentative="1">
      <w:start w:val="1"/>
      <w:numFmt w:val="bullet"/>
      <w:lvlText w:val=""/>
      <w:lvlJc w:val="left"/>
      <w:pPr>
        <w:ind w:left="6815" w:hanging="360"/>
      </w:pPr>
      <w:rPr>
        <w:rFonts w:ascii="Symbol" w:hAnsi="Symbol" w:hint="default"/>
      </w:rPr>
    </w:lvl>
    <w:lvl w:ilvl="7" w:tplc="04090003" w:tentative="1">
      <w:start w:val="1"/>
      <w:numFmt w:val="bullet"/>
      <w:lvlText w:val="o"/>
      <w:lvlJc w:val="left"/>
      <w:pPr>
        <w:ind w:left="7535" w:hanging="360"/>
      </w:pPr>
      <w:rPr>
        <w:rFonts w:ascii="Courier New" w:hAnsi="Courier New" w:cs="Courier New" w:hint="default"/>
      </w:rPr>
    </w:lvl>
    <w:lvl w:ilvl="8" w:tplc="04090005" w:tentative="1">
      <w:start w:val="1"/>
      <w:numFmt w:val="bullet"/>
      <w:lvlText w:val=""/>
      <w:lvlJc w:val="left"/>
      <w:pPr>
        <w:ind w:left="8255" w:hanging="360"/>
      </w:pPr>
      <w:rPr>
        <w:rFonts w:ascii="Wingdings" w:hAnsi="Wingdings" w:hint="default"/>
      </w:rPr>
    </w:lvl>
  </w:abstractNum>
  <w:abstractNum w:abstractNumId="7" w15:restartNumberingAfterBreak="0">
    <w:nsid w:val="576C257D"/>
    <w:multiLevelType w:val="hybridMultilevel"/>
    <w:tmpl w:val="5490B428"/>
    <w:lvl w:ilvl="0" w:tplc="4D92438C">
      <w:numFmt w:val="bullet"/>
      <w:lvlText w:val=""/>
      <w:lvlJc w:val="left"/>
      <w:pPr>
        <w:ind w:left="720" w:hanging="360"/>
      </w:pPr>
      <w:rPr>
        <w:rFonts w:ascii="Symbol" w:eastAsiaTheme="minorHAnsi" w:hAnsi="Symbol" w:cstheme="minorBidi" w:hint="default"/>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C0C3F"/>
    <w:multiLevelType w:val="hybridMultilevel"/>
    <w:tmpl w:val="C6BCA938"/>
    <w:lvl w:ilvl="0" w:tplc="3F76F7D8">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254847">
    <w:abstractNumId w:val="4"/>
  </w:num>
  <w:num w:numId="2" w16cid:durableId="2057700509">
    <w:abstractNumId w:val="8"/>
  </w:num>
  <w:num w:numId="3" w16cid:durableId="2085302150">
    <w:abstractNumId w:val="5"/>
  </w:num>
  <w:num w:numId="4" w16cid:durableId="597177077">
    <w:abstractNumId w:val="7"/>
  </w:num>
  <w:num w:numId="5" w16cid:durableId="198250066">
    <w:abstractNumId w:val="1"/>
  </w:num>
  <w:num w:numId="6" w16cid:durableId="1114012353">
    <w:abstractNumId w:val="0"/>
  </w:num>
  <w:num w:numId="7" w16cid:durableId="1272738678">
    <w:abstractNumId w:val="6"/>
  </w:num>
  <w:num w:numId="8" w16cid:durableId="556162645">
    <w:abstractNumId w:val="3"/>
  </w:num>
  <w:num w:numId="9" w16cid:durableId="47147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6CD"/>
    <w:rsid w:val="00025B3C"/>
    <w:rsid w:val="00047284"/>
    <w:rsid w:val="00050851"/>
    <w:rsid w:val="00050B3A"/>
    <w:rsid w:val="00084CE5"/>
    <w:rsid w:val="00094788"/>
    <w:rsid w:val="000A3D08"/>
    <w:rsid w:val="000A6916"/>
    <w:rsid w:val="000E302D"/>
    <w:rsid w:val="000F0F34"/>
    <w:rsid w:val="0015679A"/>
    <w:rsid w:val="00161EC8"/>
    <w:rsid w:val="00170BA6"/>
    <w:rsid w:val="001A0B80"/>
    <w:rsid w:val="001E536C"/>
    <w:rsid w:val="001F6691"/>
    <w:rsid w:val="00203B85"/>
    <w:rsid w:val="002067BE"/>
    <w:rsid w:val="0021265D"/>
    <w:rsid w:val="002632AD"/>
    <w:rsid w:val="00265CC4"/>
    <w:rsid w:val="002A715F"/>
    <w:rsid w:val="002C6497"/>
    <w:rsid w:val="002E3D7E"/>
    <w:rsid w:val="002F015F"/>
    <w:rsid w:val="002F65A9"/>
    <w:rsid w:val="0030198F"/>
    <w:rsid w:val="003035C8"/>
    <w:rsid w:val="0030634D"/>
    <w:rsid w:val="00306F36"/>
    <w:rsid w:val="00310EF8"/>
    <w:rsid w:val="003153EF"/>
    <w:rsid w:val="0033103D"/>
    <w:rsid w:val="003323CB"/>
    <w:rsid w:val="0033477F"/>
    <w:rsid w:val="0033631E"/>
    <w:rsid w:val="00373ECA"/>
    <w:rsid w:val="00395ACD"/>
    <w:rsid w:val="003B1369"/>
    <w:rsid w:val="003B7532"/>
    <w:rsid w:val="003E5BA8"/>
    <w:rsid w:val="00415848"/>
    <w:rsid w:val="00423DDB"/>
    <w:rsid w:val="00466A63"/>
    <w:rsid w:val="004806CD"/>
    <w:rsid w:val="00492132"/>
    <w:rsid w:val="00494142"/>
    <w:rsid w:val="004C33B0"/>
    <w:rsid w:val="00510677"/>
    <w:rsid w:val="00571E23"/>
    <w:rsid w:val="005A6123"/>
    <w:rsid w:val="005D1D2A"/>
    <w:rsid w:val="006176D7"/>
    <w:rsid w:val="00622B4E"/>
    <w:rsid w:val="00625F70"/>
    <w:rsid w:val="00632397"/>
    <w:rsid w:val="00635305"/>
    <w:rsid w:val="006507ED"/>
    <w:rsid w:val="00670BDB"/>
    <w:rsid w:val="00682175"/>
    <w:rsid w:val="00694010"/>
    <w:rsid w:val="00696B7A"/>
    <w:rsid w:val="006A3786"/>
    <w:rsid w:val="006D2D48"/>
    <w:rsid w:val="006D3090"/>
    <w:rsid w:val="006D5F35"/>
    <w:rsid w:val="006D6648"/>
    <w:rsid w:val="006D7255"/>
    <w:rsid w:val="006F03B4"/>
    <w:rsid w:val="00705A24"/>
    <w:rsid w:val="00712BD5"/>
    <w:rsid w:val="007170E2"/>
    <w:rsid w:val="00723480"/>
    <w:rsid w:val="00772D93"/>
    <w:rsid w:val="007812DF"/>
    <w:rsid w:val="007908FF"/>
    <w:rsid w:val="007B7567"/>
    <w:rsid w:val="007C1F86"/>
    <w:rsid w:val="007D23CF"/>
    <w:rsid w:val="007D3468"/>
    <w:rsid w:val="007F16B6"/>
    <w:rsid w:val="007F52A9"/>
    <w:rsid w:val="008506AC"/>
    <w:rsid w:val="00852E57"/>
    <w:rsid w:val="00856DC1"/>
    <w:rsid w:val="0086010F"/>
    <w:rsid w:val="00862200"/>
    <w:rsid w:val="0086441C"/>
    <w:rsid w:val="00893A13"/>
    <w:rsid w:val="008C7CE8"/>
    <w:rsid w:val="008C7E83"/>
    <w:rsid w:val="008D4DB8"/>
    <w:rsid w:val="008D4FD1"/>
    <w:rsid w:val="00921F33"/>
    <w:rsid w:val="00927A2C"/>
    <w:rsid w:val="00933823"/>
    <w:rsid w:val="009415CB"/>
    <w:rsid w:val="00954909"/>
    <w:rsid w:val="00973107"/>
    <w:rsid w:val="00976479"/>
    <w:rsid w:val="0098747A"/>
    <w:rsid w:val="009B182D"/>
    <w:rsid w:val="009B3F37"/>
    <w:rsid w:val="009C6F9D"/>
    <w:rsid w:val="009E649A"/>
    <w:rsid w:val="009F6FBF"/>
    <w:rsid w:val="00A04BE2"/>
    <w:rsid w:val="00A112FC"/>
    <w:rsid w:val="00A15BC5"/>
    <w:rsid w:val="00A2293B"/>
    <w:rsid w:val="00A72A23"/>
    <w:rsid w:val="00A80149"/>
    <w:rsid w:val="00A85014"/>
    <w:rsid w:val="00A852AD"/>
    <w:rsid w:val="00AE155C"/>
    <w:rsid w:val="00AF3D48"/>
    <w:rsid w:val="00AF41D7"/>
    <w:rsid w:val="00AF68EC"/>
    <w:rsid w:val="00B0525A"/>
    <w:rsid w:val="00B41210"/>
    <w:rsid w:val="00B4514B"/>
    <w:rsid w:val="00B90F0A"/>
    <w:rsid w:val="00BA2DA1"/>
    <w:rsid w:val="00BA4526"/>
    <w:rsid w:val="00BB01AC"/>
    <w:rsid w:val="00BB2581"/>
    <w:rsid w:val="00BB2672"/>
    <w:rsid w:val="00BB783B"/>
    <w:rsid w:val="00BC3717"/>
    <w:rsid w:val="00BE39E5"/>
    <w:rsid w:val="00C13E25"/>
    <w:rsid w:val="00C243E4"/>
    <w:rsid w:val="00C335A9"/>
    <w:rsid w:val="00C44903"/>
    <w:rsid w:val="00C4614D"/>
    <w:rsid w:val="00C56F0B"/>
    <w:rsid w:val="00C622A5"/>
    <w:rsid w:val="00C63FDF"/>
    <w:rsid w:val="00C712BE"/>
    <w:rsid w:val="00C94A37"/>
    <w:rsid w:val="00CB133D"/>
    <w:rsid w:val="00CB3881"/>
    <w:rsid w:val="00CC691D"/>
    <w:rsid w:val="00CE1672"/>
    <w:rsid w:val="00CF4B0A"/>
    <w:rsid w:val="00D14DBC"/>
    <w:rsid w:val="00D20C81"/>
    <w:rsid w:val="00D47654"/>
    <w:rsid w:val="00D617B6"/>
    <w:rsid w:val="00D6792F"/>
    <w:rsid w:val="00D91C7E"/>
    <w:rsid w:val="00D95F21"/>
    <w:rsid w:val="00D96CA6"/>
    <w:rsid w:val="00DA4010"/>
    <w:rsid w:val="00DE1C1B"/>
    <w:rsid w:val="00DF7201"/>
    <w:rsid w:val="00E00930"/>
    <w:rsid w:val="00E1008E"/>
    <w:rsid w:val="00E157AD"/>
    <w:rsid w:val="00E43E52"/>
    <w:rsid w:val="00E87DC8"/>
    <w:rsid w:val="00EA45DD"/>
    <w:rsid w:val="00EB3A75"/>
    <w:rsid w:val="00EE1A72"/>
    <w:rsid w:val="00EF2D36"/>
    <w:rsid w:val="00F05F83"/>
    <w:rsid w:val="00F24E22"/>
    <w:rsid w:val="00F512F8"/>
    <w:rsid w:val="00F55572"/>
    <w:rsid w:val="00F63BAD"/>
    <w:rsid w:val="00F7529F"/>
    <w:rsid w:val="00FC1C46"/>
    <w:rsid w:val="00FD3E75"/>
    <w:rsid w:val="00FE6427"/>
    <w:rsid w:val="00FE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DB11B"/>
  <w15:chartTrackingRefBased/>
  <w15:docId w15:val="{868E7C67-4AFD-41F2-A72A-58C490FB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510677"/>
    <w:pPr>
      <w:keepNext/>
      <w:keepLines/>
      <w:spacing w:before="40" w:after="0" w:line="240" w:lineRule="auto"/>
      <w:outlineLvl w:val="6"/>
    </w:pPr>
    <w:rPr>
      <w:rFonts w:ascii="Arial" w:eastAsiaTheme="majorEastAsia" w:hAnsi="Arial" w:cstheme="majorBidi"/>
      <w:color w:val="595959" w:themeColor="text1" w:themeTint="A6"/>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6CD"/>
    <w:rPr>
      <w:rFonts w:ascii="Segoe UI" w:hAnsi="Segoe UI" w:cs="Segoe UI"/>
      <w:sz w:val="18"/>
      <w:szCs w:val="18"/>
    </w:rPr>
  </w:style>
  <w:style w:type="paragraph" w:styleId="Header">
    <w:name w:val="header"/>
    <w:basedOn w:val="Normal"/>
    <w:link w:val="HeaderChar"/>
    <w:uiPriority w:val="99"/>
    <w:unhideWhenUsed/>
    <w:rsid w:val="00332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CB"/>
  </w:style>
  <w:style w:type="paragraph" w:styleId="Footer">
    <w:name w:val="footer"/>
    <w:basedOn w:val="Normal"/>
    <w:link w:val="FooterChar"/>
    <w:uiPriority w:val="99"/>
    <w:unhideWhenUsed/>
    <w:rsid w:val="00332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CB"/>
  </w:style>
  <w:style w:type="paragraph" w:styleId="NoSpacing">
    <w:name w:val="No Spacing"/>
    <w:uiPriority w:val="1"/>
    <w:qFormat/>
    <w:rsid w:val="00F05F83"/>
    <w:pPr>
      <w:spacing w:after="0" w:line="240" w:lineRule="auto"/>
    </w:pPr>
  </w:style>
  <w:style w:type="character" w:customStyle="1" w:styleId="Heading7Char">
    <w:name w:val="Heading 7 Char"/>
    <w:basedOn w:val="DefaultParagraphFont"/>
    <w:link w:val="Heading7"/>
    <w:uiPriority w:val="9"/>
    <w:semiHidden/>
    <w:rsid w:val="00510677"/>
    <w:rPr>
      <w:rFonts w:ascii="Arial" w:eastAsiaTheme="majorEastAsia" w:hAnsi="Arial" w:cstheme="majorBidi"/>
      <w:color w:val="595959" w:themeColor="text1" w:themeTint="A6"/>
      <w:kern w:val="2"/>
      <w:sz w:val="20"/>
      <w:szCs w:val="20"/>
      <w14:ligatures w14:val="standardContextual"/>
    </w:rPr>
  </w:style>
  <w:style w:type="paragraph" w:styleId="ListParagraph">
    <w:name w:val="List Paragraph"/>
    <w:basedOn w:val="Normal"/>
    <w:uiPriority w:val="34"/>
    <w:qFormat/>
    <w:rsid w:val="0033103D"/>
    <w:pPr>
      <w:spacing w:after="160" w:line="240" w:lineRule="auto"/>
      <w:ind w:left="720"/>
      <w:contextualSpacing/>
    </w:pPr>
    <w:rPr>
      <w:rFonts w:ascii="Arial" w:hAnsi="Arial"/>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fafe45-e196-4c0d-b7ab-ee993fc451b7" xsi:nil="true"/>
    <lcf76f155ced4ddcb4097134ff3c332f xmlns="41069e0b-156c-4b90-96dc-7c13282bc8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DD2A4851F4749BEB0CDAB3F253C9E" ma:contentTypeVersion="12" ma:contentTypeDescription="Create a new document." ma:contentTypeScope="" ma:versionID="213ce478f22d792774158612399e91e6">
  <xsd:schema xmlns:xsd="http://www.w3.org/2001/XMLSchema" xmlns:xs="http://www.w3.org/2001/XMLSchema" xmlns:p="http://schemas.microsoft.com/office/2006/metadata/properties" xmlns:ns2="41069e0b-156c-4b90-96dc-7c13282bc80d" xmlns:ns3="50fafe45-e196-4c0d-b7ab-ee993fc451b7" targetNamespace="http://schemas.microsoft.com/office/2006/metadata/properties" ma:root="true" ma:fieldsID="2f0d399473b168e080421712e46fdaa6" ns2:_="" ns3:_="">
    <xsd:import namespace="41069e0b-156c-4b90-96dc-7c13282bc80d"/>
    <xsd:import namespace="50fafe45-e196-4c0d-b7ab-ee993fc45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69e0b-156c-4b90-96dc-7c13282bc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768661-324e-4869-a877-7a2ddbe1ffa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afe45-e196-4c0d-b7ab-ee993fc451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7c405a-1d73-4f61-87bc-3b851fdc421d}" ma:internalName="TaxCatchAll" ma:showField="CatchAllData" ma:web="50fafe45-e196-4c0d-b7ab-ee993fc45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892A-3C35-459A-B051-9C13326C681E}">
  <ds:schemaRefs>
    <ds:schemaRef ds:uri="http://schemas.microsoft.com/sharepoint/v3/contenttype/forms"/>
  </ds:schemaRefs>
</ds:datastoreItem>
</file>

<file path=customXml/itemProps2.xml><?xml version="1.0" encoding="utf-8"?>
<ds:datastoreItem xmlns:ds="http://schemas.openxmlformats.org/officeDocument/2006/customXml" ds:itemID="{53CC3996-E736-488B-A352-872FB02B18D6}">
  <ds:schemaRefs>
    <ds:schemaRef ds:uri="http://schemas.microsoft.com/office/2006/metadata/properties"/>
    <ds:schemaRef ds:uri="http://schemas.microsoft.com/office/infopath/2007/PartnerControls"/>
    <ds:schemaRef ds:uri="50fafe45-e196-4c0d-b7ab-ee993fc451b7"/>
    <ds:schemaRef ds:uri="41069e0b-156c-4b90-96dc-7c13282bc80d"/>
  </ds:schemaRefs>
</ds:datastoreItem>
</file>

<file path=customXml/itemProps3.xml><?xml version="1.0" encoding="utf-8"?>
<ds:datastoreItem xmlns:ds="http://schemas.openxmlformats.org/officeDocument/2006/customXml" ds:itemID="{DFAE117F-FEC6-49E1-92A1-83BF6A7A8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69e0b-156c-4b90-96dc-7c13282bc80d"/>
    <ds:schemaRef ds:uri="50fafe45-e196-4c0d-b7ab-ee993fc45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47FF1-8DF3-450D-A241-905B6ADF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804</Words>
  <Characters>4716</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Strieby, Shilo</dc:creator>
  <cp:keywords/>
  <dc:description/>
  <cp:lastModifiedBy>Dickeson, Tosha</cp:lastModifiedBy>
  <cp:revision>2</cp:revision>
  <cp:lastPrinted>2025-09-22T14:23:00Z</cp:lastPrinted>
  <dcterms:created xsi:type="dcterms:W3CDTF">2025-11-24T19:12:00Z</dcterms:created>
  <dcterms:modified xsi:type="dcterms:W3CDTF">2025-11-24T19:12:00Z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0x010100BEDDD2A4851F4749BEB0CDAB3F253C9E</vt:lpwstr>
  </property>
</Properties>
</file>